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4EC9" w:rsidRPr="008D2F16" w:rsidRDefault="00614EC9" w:rsidP="00614EC9">
      <w:pPr>
        <w:spacing w:after="0" w:line="240" w:lineRule="auto"/>
        <w:jc w:val="center"/>
        <w:rPr>
          <w:rFonts w:ascii="Arial" w:hAnsi="Arial" w:cs="Arial"/>
          <w:b/>
          <w:u w:val="single"/>
        </w:rPr>
      </w:pPr>
      <w:r w:rsidRPr="008D2F16">
        <w:rPr>
          <w:rFonts w:ascii="Arial" w:hAnsi="Arial" w:cs="Arial"/>
          <w:b/>
          <w:u w:val="single"/>
        </w:rPr>
        <w:t>Esquemas</w:t>
      </w:r>
      <w:r w:rsidR="00304BDB" w:rsidRPr="008D2F16">
        <w:rPr>
          <w:rFonts w:ascii="Arial" w:hAnsi="Arial" w:cs="Arial"/>
          <w:b/>
          <w:u w:val="single"/>
        </w:rPr>
        <w:t xml:space="preserve"> particulares de entrega para el IMSS</w:t>
      </w:r>
      <w:bookmarkStart w:id="0" w:name="_GoBack"/>
      <w:bookmarkEnd w:id="0"/>
    </w:p>
    <w:p w:rsidR="00614EC9" w:rsidRPr="008D2F16" w:rsidRDefault="00614EC9" w:rsidP="006809A7">
      <w:pPr>
        <w:spacing w:after="0" w:line="240" w:lineRule="auto"/>
        <w:rPr>
          <w:rFonts w:ascii="Arial" w:hAnsi="Arial" w:cs="Arial"/>
        </w:rPr>
      </w:pPr>
    </w:p>
    <w:p w:rsidR="00614EC9" w:rsidRPr="008D2F16" w:rsidRDefault="00614EC9" w:rsidP="00614EC9">
      <w:pPr>
        <w:spacing w:after="0" w:line="240" w:lineRule="auto"/>
        <w:rPr>
          <w:rFonts w:ascii="Arial" w:hAnsi="Arial" w:cs="Arial"/>
        </w:rPr>
      </w:pPr>
      <w:r w:rsidRPr="008D2F16">
        <w:rPr>
          <w:rFonts w:ascii="Arial" w:hAnsi="Arial" w:cs="Arial"/>
        </w:rPr>
        <w:t>Para el Instituto Mexicano del Seguro Social, para las claves indicadas en el Anexo denominado requerimiento, columna “esquemas</w:t>
      </w:r>
      <w:r w:rsidR="00304BDB" w:rsidRPr="008D2F16">
        <w:rPr>
          <w:rFonts w:ascii="Arial" w:hAnsi="Arial" w:cs="Arial"/>
        </w:rPr>
        <w:t xml:space="preserve"> particulares de entrega para el IMSS</w:t>
      </w:r>
      <w:r w:rsidRPr="008D2F16">
        <w:rPr>
          <w:rFonts w:ascii="Arial" w:hAnsi="Arial" w:cs="Arial"/>
        </w:rPr>
        <w:t xml:space="preserve">”, se consideran los siguientes esquemas de contratación: </w:t>
      </w:r>
    </w:p>
    <w:p w:rsidR="00614EC9" w:rsidRPr="008D2F16" w:rsidRDefault="00614EC9" w:rsidP="00DF543A">
      <w:pPr>
        <w:spacing w:after="0" w:line="240" w:lineRule="auto"/>
        <w:rPr>
          <w:rFonts w:ascii="Arial" w:hAnsi="Arial" w:cs="Arial"/>
        </w:rPr>
      </w:pPr>
    </w:p>
    <w:p w:rsidR="00EF7896" w:rsidRPr="008D2F16" w:rsidRDefault="00EF7896" w:rsidP="00922D55">
      <w:pPr>
        <w:pStyle w:val="Prrafodelista"/>
        <w:numPr>
          <w:ilvl w:val="0"/>
          <w:numId w:val="7"/>
        </w:numPr>
        <w:rPr>
          <w:rFonts w:cs="Arial"/>
          <w:sz w:val="22"/>
        </w:rPr>
      </w:pPr>
      <w:r w:rsidRPr="008D2F16">
        <w:rPr>
          <w:rFonts w:cs="Arial"/>
          <w:b/>
          <w:sz w:val="22"/>
        </w:rPr>
        <w:t>Consumo en demanda</w:t>
      </w:r>
      <w:r w:rsidR="00614EC9" w:rsidRPr="008D2F16">
        <w:rPr>
          <w:rFonts w:cs="Arial"/>
          <w:sz w:val="22"/>
        </w:rPr>
        <w:t xml:space="preserve"> </w:t>
      </w:r>
      <w:r w:rsidRPr="008D2F16">
        <w:rPr>
          <w:rFonts w:cs="Arial"/>
          <w:sz w:val="22"/>
        </w:rPr>
        <w:t>claves en consigna hasta en tanto no se ingresen a inventarios IMSS, en el que el proveedor se obliga a mantener inventarios mínimos en todos</w:t>
      </w:r>
      <w:r w:rsidR="00614EC9" w:rsidRPr="008D2F16">
        <w:rPr>
          <w:rFonts w:cs="Arial"/>
          <w:sz w:val="22"/>
        </w:rPr>
        <w:t xml:space="preserve"> los puntos sujetos al esquema</w:t>
      </w:r>
      <w:r w:rsidR="00614EC9" w:rsidRPr="008D2F16">
        <w:rPr>
          <w:rFonts w:cs="Arial"/>
          <w:sz w:val="22"/>
          <w:lang w:val="es-MX"/>
        </w:rPr>
        <w:t>.</w:t>
      </w:r>
    </w:p>
    <w:p w:rsidR="00EF7896" w:rsidRPr="008D2F16" w:rsidRDefault="00EF7896" w:rsidP="00EF7896">
      <w:pPr>
        <w:pStyle w:val="Prrafodelista"/>
        <w:rPr>
          <w:rFonts w:cs="Arial"/>
          <w:sz w:val="22"/>
        </w:rPr>
      </w:pPr>
    </w:p>
    <w:p w:rsidR="00EF7896" w:rsidRPr="008D2F16" w:rsidRDefault="00EF7896" w:rsidP="00EC7768">
      <w:pPr>
        <w:pStyle w:val="Prrafodelista"/>
        <w:numPr>
          <w:ilvl w:val="0"/>
          <w:numId w:val="7"/>
        </w:numPr>
        <w:rPr>
          <w:rFonts w:cs="Arial"/>
          <w:sz w:val="22"/>
        </w:rPr>
      </w:pPr>
      <w:r w:rsidRPr="008D2F16">
        <w:rPr>
          <w:rFonts w:cs="Arial"/>
          <w:b/>
          <w:sz w:val="22"/>
        </w:rPr>
        <w:t>Entrega hospitalaria</w:t>
      </w:r>
      <w:r w:rsidR="00614EC9" w:rsidRPr="008D2F16">
        <w:rPr>
          <w:rFonts w:cs="Arial"/>
          <w:sz w:val="22"/>
        </w:rPr>
        <w:t xml:space="preserve"> </w:t>
      </w:r>
      <w:r w:rsidRPr="008D2F16">
        <w:rPr>
          <w:rFonts w:cs="Arial"/>
          <w:sz w:val="22"/>
        </w:rPr>
        <w:t>entrega de bienes de manera directa por los proveedores en farmacias del ámbito nacional,</w:t>
      </w:r>
      <w:r w:rsidR="00614EC9" w:rsidRPr="008D2F16">
        <w:rPr>
          <w:rFonts w:cs="Arial"/>
          <w:sz w:val="22"/>
        </w:rPr>
        <w:t xml:space="preserve"> sin participación de almacenes</w:t>
      </w:r>
      <w:r w:rsidRPr="008D2F16">
        <w:rPr>
          <w:rFonts w:cs="Arial"/>
          <w:sz w:val="22"/>
        </w:rPr>
        <w:t>.</w:t>
      </w:r>
      <w:r w:rsidR="00EC7768">
        <w:rPr>
          <w:rFonts w:cs="Arial"/>
          <w:sz w:val="22"/>
          <w:lang w:val="es-MX"/>
        </w:rPr>
        <w:t xml:space="preserve"> (conforme al archivo </w:t>
      </w:r>
      <w:r w:rsidR="00EC7768" w:rsidRPr="00EC7768">
        <w:rPr>
          <w:rFonts w:cs="Arial"/>
          <w:sz w:val="22"/>
          <w:lang w:val="es-MX"/>
        </w:rPr>
        <w:t>ANEXO_LUGARES DE ENTREGA IMSS_EN ESQUEMA DE ENTREGA HOSPITALARIA</w:t>
      </w:r>
      <w:r w:rsidR="00EC7768">
        <w:rPr>
          <w:rFonts w:cs="Arial"/>
          <w:sz w:val="22"/>
          <w:lang w:val="es-MX"/>
        </w:rPr>
        <w:t>)</w:t>
      </w:r>
    </w:p>
    <w:p w:rsidR="00EF7896" w:rsidRPr="008D2F16" w:rsidRDefault="00EF7896" w:rsidP="00EF7896">
      <w:pPr>
        <w:pStyle w:val="Prrafodelista"/>
        <w:rPr>
          <w:rFonts w:cs="Arial"/>
          <w:sz w:val="22"/>
        </w:rPr>
      </w:pPr>
    </w:p>
    <w:p w:rsidR="00EF7896" w:rsidRPr="006018A4" w:rsidRDefault="00AB6800" w:rsidP="00EF7896">
      <w:pPr>
        <w:spacing w:after="0" w:line="240" w:lineRule="auto"/>
        <w:rPr>
          <w:rFonts w:ascii="Arial" w:hAnsi="Arial" w:cs="Arial"/>
          <w:b/>
          <w:iCs/>
          <w:u w:val="single"/>
        </w:rPr>
      </w:pPr>
      <w:r w:rsidRPr="006018A4">
        <w:rPr>
          <w:rFonts w:ascii="Arial" w:hAnsi="Arial" w:cs="Arial"/>
          <w:b/>
          <w:iCs/>
          <w:u w:val="single"/>
        </w:rPr>
        <w:t xml:space="preserve">Condiciones de entrega </w:t>
      </w:r>
      <w:r w:rsidR="00464930" w:rsidRPr="006018A4">
        <w:rPr>
          <w:rFonts w:ascii="Arial" w:hAnsi="Arial" w:cs="Arial"/>
          <w:b/>
          <w:iCs/>
          <w:u w:val="single"/>
        </w:rPr>
        <w:t xml:space="preserve">adicionales a las establecidas en los términos y condiciones, aplicables al </w:t>
      </w:r>
      <w:r w:rsidRPr="006018A4">
        <w:rPr>
          <w:rFonts w:ascii="Arial" w:hAnsi="Arial" w:cs="Arial"/>
          <w:b/>
          <w:iCs/>
          <w:u w:val="single"/>
        </w:rPr>
        <w:t>esquema consumo en Demanda:</w:t>
      </w:r>
    </w:p>
    <w:p w:rsidR="00EF7896" w:rsidRPr="008D2F16" w:rsidRDefault="00EF7896" w:rsidP="00EF7896">
      <w:pPr>
        <w:spacing w:after="0" w:line="240" w:lineRule="auto"/>
        <w:rPr>
          <w:rFonts w:ascii="Arial" w:hAnsi="Arial" w:cs="Arial"/>
        </w:rPr>
      </w:pPr>
    </w:p>
    <w:p w:rsidR="00EF7896" w:rsidRPr="008D2F16" w:rsidRDefault="00464930" w:rsidP="00FB5328">
      <w:pPr>
        <w:spacing w:after="0" w:line="240" w:lineRule="auto"/>
        <w:ind w:left="708"/>
        <w:rPr>
          <w:rFonts w:ascii="Arial" w:hAnsi="Arial" w:cs="Arial"/>
          <w:iCs/>
        </w:rPr>
      </w:pPr>
      <w:r w:rsidRPr="008D2F16">
        <w:rPr>
          <w:rFonts w:ascii="Arial" w:hAnsi="Arial" w:cs="Arial"/>
          <w:iCs/>
        </w:rPr>
        <w:t>Los niveles de inventario mínimos y máximo</w:t>
      </w:r>
      <w:r w:rsidR="00EF7896" w:rsidRPr="008D2F16">
        <w:rPr>
          <w:rFonts w:ascii="Arial" w:hAnsi="Arial" w:cs="Arial"/>
          <w:iCs/>
        </w:rPr>
        <w:t>s a</w:t>
      </w:r>
      <w:r w:rsidRPr="008D2F16">
        <w:rPr>
          <w:rFonts w:ascii="Arial" w:hAnsi="Arial" w:cs="Arial"/>
          <w:iCs/>
        </w:rPr>
        <w:t xml:space="preserve"> mantener </w:t>
      </w:r>
      <w:r w:rsidR="00AB6800" w:rsidRPr="008D2F16">
        <w:rPr>
          <w:rFonts w:ascii="Arial" w:hAnsi="Arial" w:cs="Arial"/>
          <w:iCs/>
        </w:rPr>
        <w:t xml:space="preserve">por cada una de las claves incluidas en el esquema, </w:t>
      </w:r>
      <w:r w:rsidR="00EF7896" w:rsidRPr="008D2F16">
        <w:rPr>
          <w:rFonts w:ascii="Arial" w:hAnsi="Arial" w:cs="Arial"/>
          <w:iCs/>
        </w:rPr>
        <w:t xml:space="preserve">por Delegación y UMAE en el esquema, </w:t>
      </w:r>
      <w:r w:rsidR="00AB6800" w:rsidRPr="008D2F16">
        <w:rPr>
          <w:rFonts w:ascii="Arial" w:hAnsi="Arial" w:cs="Arial"/>
          <w:iCs/>
        </w:rPr>
        <w:t>así como la cantidad y fecha en que se deberá realizar la primera entrega serán notificadas al proveedor a través del contacto oficial, página de proveedores o de manera personal en la Coordinación de Control al Abasto, con dirección en la Calle Durango #291, 7° piso, Colonia Roma, Delegación Cuauhtémoc en la Ciudad de México.</w:t>
      </w:r>
    </w:p>
    <w:p w:rsidR="00AB6800" w:rsidRPr="008D2F16" w:rsidRDefault="00AB6800" w:rsidP="00FB5328">
      <w:pPr>
        <w:spacing w:after="0" w:line="240" w:lineRule="auto"/>
        <w:ind w:left="708"/>
        <w:rPr>
          <w:rFonts w:ascii="Arial" w:hAnsi="Arial" w:cs="Arial"/>
          <w:iCs/>
        </w:rPr>
      </w:pPr>
    </w:p>
    <w:p w:rsidR="00EF7896" w:rsidRPr="008D2F16" w:rsidRDefault="00EF7896" w:rsidP="00FB5328">
      <w:pPr>
        <w:spacing w:after="0" w:line="240" w:lineRule="auto"/>
        <w:ind w:left="708"/>
        <w:rPr>
          <w:rFonts w:ascii="Arial" w:hAnsi="Arial" w:cs="Arial"/>
          <w:iCs/>
        </w:rPr>
      </w:pPr>
      <w:r w:rsidRPr="008D2F16">
        <w:rPr>
          <w:rFonts w:ascii="Arial" w:hAnsi="Arial" w:cs="Arial"/>
          <w:iCs/>
        </w:rPr>
        <w:t>Para las entregas subsecuentes, los proveedores deberán reponer la cantidad de bienes necesaria entre el mínimo y el máximo dentro de los cinco días naturales posteriores a la fecha en que se detecte que los bienes se encuentran por debajo del mínimo solicitado.</w:t>
      </w:r>
    </w:p>
    <w:p w:rsidR="00EF7896" w:rsidRPr="008D2F16" w:rsidRDefault="00EF7896" w:rsidP="00FB5328">
      <w:pPr>
        <w:spacing w:after="0" w:line="240" w:lineRule="auto"/>
        <w:ind w:left="708"/>
        <w:rPr>
          <w:rFonts w:ascii="Arial" w:hAnsi="Arial" w:cs="Arial"/>
          <w:iCs/>
        </w:rPr>
      </w:pPr>
    </w:p>
    <w:p w:rsidR="00EF7896" w:rsidRPr="008D2F16" w:rsidRDefault="00EF7896" w:rsidP="00FB5328">
      <w:pPr>
        <w:spacing w:after="0" w:line="240" w:lineRule="auto"/>
        <w:ind w:left="708"/>
        <w:rPr>
          <w:rFonts w:ascii="Arial" w:hAnsi="Arial" w:cs="Arial"/>
          <w:iCs/>
        </w:rPr>
      </w:pPr>
      <w:r w:rsidRPr="008D2F16">
        <w:rPr>
          <w:rFonts w:ascii="Arial" w:hAnsi="Arial" w:cs="Arial"/>
          <w:iCs/>
        </w:rPr>
        <w:t xml:space="preserve">Es responsabilidad del proveedor adjudicado mantener el inventario dentro de las cantidades </w:t>
      </w:r>
      <w:r w:rsidR="00464930" w:rsidRPr="008D2F16">
        <w:rPr>
          <w:rFonts w:ascii="Arial" w:hAnsi="Arial" w:cs="Arial"/>
          <w:iCs/>
        </w:rPr>
        <w:t xml:space="preserve">mínimas indicadas; el proveedor podrá entregar cantidades superiores al inventario máximo, previa autorización del administrador de contrato, o del personal que este designe.  </w:t>
      </w:r>
    </w:p>
    <w:p w:rsidR="00EF7896" w:rsidRPr="008D2F16" w:rsidRDefault="00EF7896" w:rsidP="00FB5328">
      <w:pPr>
        <w:spacing w:after="0" w:line="240" w:lineRule="auto"/>
        <w:ind w:left="708"/>
        <w:rPr>
          <w:rFonts w:ascii="Arial" w:hAnsi="Arial" w:cs="Arial"/>
          <w:iCs/>
        </w:rPr>
      </w:pPr>
    </w:p>
    <w:p w:rsidR="00EF7896" w:rsidRPr="008D2F16" w:rsidRDefault="00AB6800" w:rsidP="00FB5328">
      <w:pPr>
        <w:spacing w:after="0" w:line="240" w:lineRule="auto"/>
        <w:ind w:left="708"/>
        <w:rPr>
          <w:rFonts w:ascii="Arial" w:hAnsi="Arial" w:cs="Arial"/>
          <w:iCs/>
        </w:rPr>
      </w:pPr>
      <w:r w:rsidRPr="008D2F16">
        <w:rPr>
          <w:rFonts w:ascii="Arial" w:hAnsi="Arial" w:cs="Arial"/>
          <w:iCs/>
        </w:rPr>
        <w:t>Durante la vigencia del contrato, e</w:t>
      </w:r>
      <w:r w:rsidR="00EF7896" w:rsidRPr="008D2F16">
        <w:rPr>
          <w:rFonts w:ascii="Arial" w:hAnsi="Arial" w:cs="Arial"/>
          <w:iCs/>
        </w:rPr>
        <w:t>l Instituto a través de la División de Supervisión y Control al Abasto dependiente de la Coordinación de Control al Abasto podrá modificar las cantidades mínimas y máximas a suministrar para cada Delegación y UMAE, las cuales se notificarán al proveedor a través del contacto oficial, página de proveedores o de manera personal en la Coordinación de Control al Abasto con 15 días de anticipación a la entrada en vigor de los nuevos consumos.</w:t>
      </w:r>
    </w:p>
    <w:p w:rsidR="00EF7896" w:rsidRPr="008D2F16" w:rsidRDefault="00EF7896" w:rsidP="00FB5328">
      <w:pPr>
        <w:spacing w:after="0" w:line="240" w:lineRule="auto"/>
        <w:ind w:left="708"/>
        <w:rPr>
          <w:rFonts w:ascii="Arial" w:hAnsi="Arial" w:cs="Arial"/>
          <w:iCs/>
        </w:rPr>
      </w:pPr>
    </w:p>
    <w:p w:rsidR="00EF7896" w:rsidRPr="008D2F16" w:rsidRDefault="00EF7896" w:rsidP="00FB5328">
      <w:pPr>
        <w:spacing w:after="0" w:line="240" w:lineRule="auto"/>
        <w:ind w:left="708"/>
        <w:rPr>
          <w:rFonts w:ascii="Arial" w:hAnsi="Arial" w:cs="Arial"/>
          <w:iCs/>
        </w:rPr>
      </w:pPr>
      <w:r w:rsidRPr="008D2F16">
        <w:rPr>
          <w:rFonts w:ascii="Arial" w:hAnsi="Arial" w:cs="Arial"/>
          <w:iCs/>
        </w:rPr>
        <w:t xml:space="preserve">El licitante adjudicado podrá consultar el portal de proveedores, ubicado en la dirección electrónica </w:t>
      </w:r>
      <w:hyperlink r:id="rId9" w:history="1">
        <w:r w:rsidRPr="008D2F16">
          <w:rPr>
            <w:rStyle w:val="Hipervnculo"/>
            <w:rFonts w:ascii="Arial" w:hAnsi="Arial" w:cs="Arial"/>
            <w:bCs/>
            <w:iCs/>
            <w:u w:val="none"/>
          </w:rPr>
          <w:t>http://sai.imss.gob.mx</w:t>
        </w:r>
      </w:hyperlink>
      <w:r w:rsidRPr="008D2F16">
        <w:rPr>
          <w:rFonts w:ascii="Arial" w:hAnsi="Arial" w:cs="Arial"/>
          <w:iCs/>
        </w:rPr>
        <w:t xml:space="preserve"> las existencias de los inventarios, entradas, salidas y altas al cierre de cada día hábil, a fin de que este pueda hacer las reposiciones de inventario. </w:t>
      </w:r>
    </w:p>
    <w:p w:rsidR="00EF7896" w:rsidRPr="008D2F16" w:rsidRDefault="00EF7896" w:rsidP="00FB5328">
      <w:pPr>
        <w:spacing w:after="0" w:line="240" w:lineRule="auto"/>
        <w:ind w:left="708"/>
        <w:rPr>
          <w:rFonts w:ascii="Arial" w:hAnsi="Arial" w:cs="Arial"/>
          <w:iCs/>
        </w:rPr>
      </w:pPr>
    </w:p>
    <w:p w:rsidR="00EF7896" w:rsidRPr="008D2F16" w:rsidRDefault="00EF7896" w:rsidP="00FB5328">
      <w:pPr>
        <w:spacing w:after="0" w:line="240" w:lineRule="auto"/>
        <w:ind w:left="708"/>
        <w:rPr>
          <w:rFonts w:ascii="Arial" w:hAnsi="Arial" w:cs="Arial"/>
          <w:iCs/>
        </w:rPr>
      </w:pPr>
      <w:r w:rsidRPr="008D2F16">
        <w:rPr>
          <w:rFonts w:ascii="Arial" w:hAnsi="Arial" w:cs="Arial"/>
          <w:iCs/>
        </w:rPr>
        <w:t xml:space="preserve">En caso que la Página de Internet de Proveedores no se encuentre en funcionamiento, se hará la notificación a través de las áreas de abastecimiento de nivel central y/o de cada Delegación o UMAE a través de correo electrónico por contacto oficial </w:t>
      </w:r>
      <w:r w:rsidR="00AB6800" w:rsidRPr="008D2F16">
        <w:rPr>
          <w:rFonts w:ascii="Arial" w:hAnsi="Arial" w:cs="Arial"/>
          <w:iCs/>
        </w:rPr>
        <w:t xml:space="preserve"> o</w:t>
      </w:r>
      <w:r w:rsidRPr="008D2F16">
        <w:rPr>
          <w:rFonts w:ascii="Arial" w:hAnsi="Arial" w:cs="Arial"/>
          <w:iCs/>
        </w:rPr>
        <w:t xml:space="preserve"> de manera personal, la confirmación de entrega en estas vías genera notificación automática.</w:t>
      </w:r>
    </w:p>
    <w:p w:rsidR="00EF7896" w:rsidRPr="008D2F16" w:rsidRDefault="00EF7896" w:rsidP="00FB5328">
      <w:pPr>
        <w:spacing w:after="0" w:line="240" w:lineRule="auto"/>
        <w:ind w:left="708"/>
        <w:rPr>
          <w:rFonts w:ascii="Arial" w:hAnsi="Arial" w:cs="Arial"/>
          <w:iCs/>
        </w:rPr>
      </w:pPr>
    </w:p>
    <w:p w:rsidR="00EF7896" w:rsidRDefault="00EF7896" w:rsidP="00A61266">
      <w:pPr>
        <w:spacing w:after="0" w:line="240" w:lineRule="auto"/>
        <w:ind w:left="708"/>
        <w:rPr>
          <w:rFonts w:ascii="Arial" w:hAnsi="Arial" w:cs="Arial"/>
        </w:rPr>
      </w:pPr>
      <w:r w:rsidRPr="008D2F16">
        <w:rPr>
          <w:rFonts w:ascii="Arial" w:hAnsi="Arial" w:cs="Arial"/>
          <w:iCs/>
        </w:rPr>
        <w:lastRenderedPageBreak/>
        <w:t xml:space="preserve">Es responsabilidad de los proveedores el tramitar y contar con sus claves de acceso vigentes para acceder al </w:t>
      </w:r>
      <w:r w:rsidRPr="008D2F16">
        <w:rPr>
          <w:rFonts w:ascii="Arial" w:hAnsi="Arial" w:cs="Arial"/>
          <w:bCs/>
          <w:iCs/>
        </w:rPr>
        <w:t>Portal de Internet de Proveedores</w:t>
      </w:r>
      <w:r w:rsidRPr="008D2F16">
        <w:rPr>
          <w:rFonts w:ascii="Arial" w:hAnsi="Arial" w:cs="Arial"/>
          <w:iCs/>
        </w:rPr>
        <w:t xml:space="preserve"> para consultar el estado de sus órdenes de reposición ya que los problemas de acceso al Portal no eximen a los proveedores de sus obligaciones.  </w:t>
      </w:r>
      <w:r w:rsidR="00A61266" w:rsidRPr="00D53420">
        <w:rPr>
          <w:rFonts w:ascii="Arial" w:hAnsi="Arial" w:cs="Arial"/>
        </w:rPr>
        <w:t xml:space="preserve">La obtención de las claves podrá ser gestionada en la Coordinación Técnica del </w:t>
      </w:r>
      <w:r w:rsidR="00A61266">
        <w:rPr>
          <w:rFonts w:ascii="Arial" w:hAnsi="Arial" w:cs="Arial"/>
        </w:rPr>
        <w:t>Análisis y Seguimiento de Procesos</w:t>
      </w:r>
      <w:r w:rsidR="00A61266" w:rsidRPr="00D53420">
        <w:rPr>
          <w:rFonts w:ascii="Arial" w:hAnsi="Arial" w:cs="Arial"/>
        </w:rPr>
        <w:t xml:space="preserve">, ubicada en </w:t>
      </w:r>
      <w:r w:rsidR="00A61266">
        <w:rPr>
          <w:rFonts w:ascii="Arial" w:hAnsi="Arial" w:cs="Arial"/>
        </w:rPr>
        <w:t>Tokio 80</w:t>
      </w:r>
      <w:r w:rsidR="00A61266" w:rsidRPr="00D53420">
        <w:rPr>
          <w:rFonts w:ascii="Arial" w:hAnsi="Arial" w:cs="Arial"/>
        </w:rPr>
        <w:t xml:space="preserve"> Piso </w:t>
      </w:r>
      <w:r w:rsidR="00A61266">
        <w:rPr>
          <w:rFonts w:ascii="Arial" w:hAnsi="Arial" w:cs="Arial"/>
        </w:rPr>
        <w:t>1</w:t>
      </w:r>
      <w:r w:rsidR="00A61266" w:rsidRPr="00D53420">
        <w:rPr>
          <w:rFonts w:ascii="Arial" w:hAnsi="Arial" w:cs="Arial"/>
        </w:rPr>
        <w:t xml:space="preserve">, Ciudad de México, la atención será otorgada a través de la División de </w:t>
      </w:r>
      <w:r w:rsidR="00A61266">
        <w:rPr>
          <w:rFonts w:ascii="Arial" w:hAnsi="Arial" w:cs="Arial"/>
        </w:rPr>
        <w:t>Análisis e Información de Abasto</w:t>
      </w:r>
      <w:r w:rsidR="00A61266" w:rsidRPr="00D53420">
        <w:rPr>
          <w:rFonts w:ascii="Arial" w:hAnsi="Arial" w:cs="Arial"/>
        </w:rPr>
        <w:t>, teléfono 52</w:t>
      </w:r>
      <w:r w:rsidR="00A61266">
        <w:rPr>
          <w:rFonts w:ascii="Arial" w:hAnsi="Arial" w:cs="Arial"/>
        </w:rPr>
        <w:t>382700</w:t>
      </w:r>
      <w:r w:rsidR="00A61266" w:rsidRPr="00D53420">
        <w:rPr>
          <w:rFonts w:ascii="Arial" w:hAnsi="Arial" w:cs="Arial"/>
        </w:rPr>
        <w:t xml:space="preserve">, la extensión </w:t>
      </w:r>
      <w:r w:rsidR="00A61266">
        <w:rPr>
          <w:rFonts w:ascii="Arial" w:hAnsi="Arial" w:cs="Arial"/>
        </w:rPr>
        <w:t>12605</w:t>
      </w:r>
      <w:r w:rsidR="00A61266" w:rsidRPr="00D53420">
        <w:rPr>
          <w:rFonts w:ascii="Arial" w:hAnsi="Arial" w:cs="Arial"/>
        </w:rPr>
        <w:t>, de lunes a viernes, días hábiles de 9:00 a 15:00 horas.</w:t>
      </w:r>
    </w:p>
    <w:p w:rsidR="00A61266" w:rsidRPr="008D2F16" w:rsidRDefault="00A61266" w:rsidP="00A61266">
      <w:pPr>
        <w:spacing w:after="0" w:line="240" w:lineRule="auto"/>
        <w:ind w:left="708"/>
        <w:rPr>
          <w:rFonts w:ascii="Arial" w:hAnsi="Arial" w:cs="Arial"/>
          <w:iCs/>
        </w:rPr>
      </w:pPr>
    </w:p>
    <w:p w:rsidR="0064497B" w:rsidRPr="008D2F16" w:rsidRDefault="0064497B" w:rsidP="0064497B">
      <w:pPr>
        <w:pStyle w:val="Sinespaciado"/>
        <w:jc w:val="both"/>
        <w:rPr>
          <w:rFonts w:ascii="Arial" w:hAnsi="Arial" w:cs="Arial"/>
          <w:b/>
        </w:rPr>
      </w:pPr>
      <w:r w:rsidRPr="008D2F16">
        <w:rPr>
          <w:rFonts w:ascii="Arial" w:hAnsi="Arial" w:cs="Arial"/>
          <w:b/>
        </w:rPr>
        <w:t xml:space="preserve">Sanciones </w:t>
      </w:r>
      <w:r w:rsidR="00464930" w:rsidRPr="008D2F16">
        <w:rPr>
          <w:rFonts w:ascii="Arial" w:hAnsi="Arial" w:cs="Arial"/>
          <w:b/>
        </w:rPr>
        <w:t xml:space="preserve">aplicables </w:t>
      </w:r>
      <w:r w:rsidR="00FB5328" w:rsidRPr="008D2F16">
        <w:rPr>
          <w:rFonts w:ascii="Arial" w:hAnsi="Arial" w:cs="Arial"/>
          <w:b/>
        </w:rPr>
        <w:t xml:space="preserve">al </w:t>
      </w:r>
      <w:r w:rsidR="00464930" w:rsidRPr="008D2F16">
        <w:rPr>
          <w:rFonts w:ascii="Arial" w:hAnsi="Arial" w:cs="Arial"/>
          <w:b/>
        </w:rPr>
        <w:t xml:space="preserve">esquema </w:t>
      </w:r>
      <w:r w:rsidRPr="008D2F16">
        <w:rPr>
          <w:rFonts w:ascii="Arial" w:hAnsi="Arial" w:cs="Arial"/>
          <w:b/>
        </w:rPr>
        <w:t xml:space="preserve">de consumo en demanda </w:t>
      </w:r>
    </w:p>
    <w:p w:rsidR="0064497B" w:rsidRPr="008D2F16" w:rsidRDefault="0064497B" w:rsidP="0064497B">
      <w:pPr>
        <w:spacing w:after="0" w:line="240" w:lineRule="auto"/>
        <w:ind w:left="567"/>
        <w:rPr>
          <w:rFonts w:ascii="Arial" w:hAnsi="Arial" w:cs="Arial"/>
          <w:bCs/>
          <w:lang w:eastAsia="ar-SA"/>
        </w:rPr>
      </w:pPr>
    </w:p>
    <w:p w:rsidR="0064497B" w:rsidRPr="008D2F16" w:rsidRDefault="0064497B" w:rsidP="00FB5328">
      <w:pPr>
        <w:spacing w:after="0" w:line="240" w:lineRule="auto"/>
        <w:ind w:left="708"/>
        <w:rPr>
          <w:rFonts w:ascii="Arial" w:hAnsi="Arial" w:cs="Arial"/>
          <w:b/>
          <w:iCs/>
          <w:lang w:val="es-ES"/>
        </w:rPr>
      </w:pPr>
      <w:r w:rsidRPr="008D2F16">
        <w:rPr>
          <w:rFonts w:ascii="Arial" w:hAnsi="Arial" w:cs="Arial"/>
          <w:b/>
          <w:iCs/>
          <w:lang w:val="es-ES"/>
        </w:rPr>
        <w:t>Penas convencionales</w:t>
      </w:r>
    </w:p>
    <w:p w:rsidR="0064497B" w:rsidRPr="008D2F16" w:rsidRDefault="0064497B" w:rsidP="00FB5328">
      <w:pPr>
        <w:spacing w:after="0" w:line="240" w:lineRule="auto"/>
        <w:ind w:left="708"/>
        <w:rPr>
          <w:rFonts w:ascii="Arial" w:hAnsi="Arial" w:cs="Arial"/>
          <w:iCs/>
          <w:lang w:val="es-ES"/>
        </w:rPr>
      </w:pPr>
    </w:p>
    <w:p w:rsidR="0064497B" w:rsidRPr="008D2F16" w:rsidRDefault="0064497B" w:rsidP="00FB5328">
      <w:pPr>
        <w:spacing w:after="0" w:line="240" w:lineRule="auto"/>
        <w:ind w:left="708"/>
        <w:rPr>
          <w:rFonts w:ascii="Arial" w:hAnsi="Arial" w:cs="Arial"/>
          <w:iCs/>
          <w:lang w:val="es-ES"/>
        </w:rPr>
      </w:pPr>
      <w:r w:rsidRPr="008D2F16">
        <w:rPr>
          <w:rFonts w:ascii="Arial" w:hAnsi="Arial" w:cs="Arial"/>
          <w:iCs/>
          <w:lang w:val="es-ES"/>
        </w:rPr>
        <w:t>De conformidad con el Artículo 53 de la Ley de Adquisiciones Arrendamientos y Servicios del Sector Público y del 95 de su Reglamento, procederán a la aplicación de penas convencionales por las siguientes causas y bajo las siguientes reglas:</w:t>
      </w:r>
    </w:p>
    <w:p w:rsidR="00464930" w:rsidRPr="008D2F16" w:rsidRDefault="00464930" w:rsidP="00FB5328">
      <w:pPr>
        <w:spacing w:after="0" w:line="240" w:lineRule="auto"/>
        <w:ind w:left="708"/>
        <w:rPr>
          <w:rFonts w:ascii="Arial" w:hAnsi="Arial" w:cs="Arial"/>
          <w:iCs/>
          <w:lang w:val="es-ES"/>
        </w:rPr>
      </w:pPr>
    </w:p>
    <w:p w:rsidR="0064497B" w:rsidRPr="008D2F16" w:rsidRDefault="0064497B" w:rsidP="00FB5328">
      <w:pPr>
        <w:pStyle w:val="Prrafodelista"/>
        <w:numPr>
          <w:ilvl w:val="0"/>
          <w:numId w:val="2"/>
        </w:numPr>
        <w:ind w:left="1428"/>
        <w:rPr>
          <w:rFonts w:cs="Arial"/>
          <w:iCs/>
          <w:sz w:val="22"/>
          <w:szCs w:val="22"/>
          <w:lang w:val="es-ES"/>
        </w:rPr>
      </w:pPr>
      <w:r w:rsidRPr="008D2F16">
        <w:rPr>
          <w:rFonts w:cs="Arial"/>
          <w:iCs/>
          <w:sz w:val="22"/>
          <w:szCs w:val="22"/>
          <w:lang w:val="es-ES"/>
        </w:rPr>
        <w:t>En caso de atraso en la primera entrega, se penalizará con el 2.5% (dos punto cinco por ciento) del valor de la entrega no realizada por día natural de atraso, hasta por cuatro días.</w:t>
      </w:r>
    </w:p>
    <w:p w:rsidR="0064497B" w:rsidRPr="008D2F16" w:rsidRDefault="0064497B" w:rsidP="00FB5328">
      <w:pPr>
        <w:pStyle w:val="Prrafodelista"/>
        <w:numPr>
          <w:ilvl w:val="0"/>
          <w:numId w:val="2"/>
        </w:numPr>
        <w:ind w:left="1428"/>
        <w:rPr>
          <w:rFonts w:cs="Arial"/>
          <w:iCs/>
          <w:sz w:val="22"/>
          <w:szCs w:val="22"/>
          <w:lang w:val="es-ES"/>
        </w:rPr>
      </w:pPr>
      <w:r w:rsidRPr="008D2F16">
        <w:rPr>
          <w:rFonts w:cs="Arial"/>
          <w:iCs/>
          <w:sz w:val="22"/>
          <w:szCs w:val="22"/>
          <w:lang w:val="es-ES"/>
        </w:rPr>
        <w:t>El periodo de penalización comienza a contar a partir del día siguiente a la fe</w:t>
      </w:r>
      <w:r w:rsidR="00AB6800" w:rsidRPr="008D2F16">
        <w:rPr>
          <w:rFonts w:cs="Arial"/>
          <w:iCs/>
          <w:sz w:val="22"/>
          <w:szCs w:val="22"/>
          <w:lang w:val="es-ES"/>
        </w:rPr>
        <w:t>cha establecida para la entrega</w:t>
      </w:r>
      <w:r w:rsidRPr="008D2F16">
        <w:rPr>
          <w:rFonts w:cs="Arial"/>
          <w:iCs/>
          <w:sz w:val="22"/>
          <w:szCs w:val="22"/>
          <w:lang w:val="es-ES"/>
        </w:rPr>
        <w:t>.</w:t>
      </w:r>
    </w:p>
    <w:p w:rsidR="0064497B" w:rsidRPr="008D2F16" w:rsidRDefault="0064497B" w:rsidP="00FB5328">
      <w:pPr>
        <w:pStyle w:val="Prrafodelista"/>
        <w:numPr>
          <w:ilvl w:val="0"/>
          <w:numId w:val="2"/>
        </w:numPr>
        <w:ind w:left="1428"/>
        <w:rPr>
          <w:rFonts w:cs="Arial"/>
          <w:iCs/>
          <w:sz w:val="22"/>
          <w:szCs w:val="22"/>
          <w:lang w:val="es-ES"/>
        </w:rPr>
      </w:pPr>
      <w:r w:rsidRPr="008D2F16">
        <w:rPr>
          <w:rFonts w:cs="Arial"/>
          <w:iCs/>
          <w:sz w:val="22"/>
          <w:szCs w:val="22"/>
          <w:lang w:val="es-ES"/>
        </w:rPr>
        <w:t>Las penas convencionales se calcularán tomando como base el importe de los bienes entregados extemporáneamente sin incluir el IVA.</w:t>
      </w:r>
    </w:p>
    <w:p w:rsidR="0064497B" w:rsidRPr="008D2F16" w:rsidRDefault="0064497B" w:rsidP="00FB5328">
      <w:pPr>
        <w:pStyle w:val="Sinespaciado"/>
        <w:ind w:left="708"/>
        <w:jc w:val="both"/>
        <w:rPr>
          <w:rFonts w:ascii="Arial" w:hAnsi="Arial" w:cs="Arial"/>
          <w:b/>
        </w:rPr>
      </w:pPr>
    </w:p>
    <w:p w:rsidR="0064497B" w:rsidRPr="008D2F16" w:rsidRDefault="0064497B" w:rsidP="00FB5328">
      <w:pPr>
        <w:pStyle w:val="Sinespaciado"/>
        <w:ind w:left="708"/>
        <w:jc w:val="both"/>
        <w:rPr>
          <w:rFonts w:ascii="Arial" w:hAnsi="Arial" w:cs="Arial"/>
          <w:b/>
        </w:rPr>
      </w:pPr>
      <w:r w:rsidRPr="008D2F16">
        <w:rPr>
          <w:rFonts w:ascii="Arial" w:hAnsi="Arial" w:cs="Arial"/>
          <w:b/>
        </w:rPr>
        <w:t>Deductivas</w:t>
      </w:r>
    </w:p>
    <w:tbl>
      <w:tblPr>
        <w:tblW w:w="5000" w:type="pct"/>
        <w:jc w:val="center"/>
        <w:tblInd w:w="708" w:type="dxa"/>
        <w:tblCellMar>
          <w:left w:w="0" w:type="dxa"/>
          <w:right w:w="0" w:type="dxa"/>
        </w:tblCellMar>
        <w:tblLook w:val="04A0" w:firstRow="1" w:lastRow="0" w:firstColumn="1" w:lastColumn="0" w:noHBand="0" w:noVBand="1"/>
      </w:tblPr>
      <w:tblGrid>
        <w:gridCol w:w="3781"/>
        <w:gridCol w:w="1551"/>
        <w:gridCol w:w="4856"/>
      </w:tblGrid>
      <w:tr w:rsidR="0064497B" w:rsidRPr="008D2F16" w:rsidTr="00FB5328">
        <w:trPr>
          <w:tblHeader/>
          <w:jc w:val="center"/>
        </w:trPr>
        <w:tc>
          <w:tcPr>
            <w:tcW w:w="1856" w:type="pct"/>
            <w:tcBorders>
              <w:top w:val="single" w:sz="8" w:space="0" w:color="000000"/>
              <w:left w:val="single" w:sz="8" w:space="0" w:color="000000"/>
              <w:bottom w:val="single" w:sz="8" w:space="0" w:color="000000"/>
              <w:right w:val="single" w:sz="8" w:space="0" w:color="000000"/>
            </w:tcBorders>
            <w:shd w:val="clear" w:color="auto" w:fill="BFBFBF"/>
            <w:tcMar>
              <w:top w:w="0" w:type="dxa"/>
              <w:left w:w="108" w:type="dxa"/>
              <w:bottom w:w="0" w:type="dxa"/>
              <w:right w:w="108" w:type="dxa"/>
            </w:tcMar>
            <w:hideMark/>
          </w:tcPr>
          <w:p w:rsidR="0064497B" w:rsidRPr="008D2F16" w:rsidRDefault="0064497B" w:rsidP="006C5CAA">
            <w:pPr>
              <w:rPr>
                <w:rFonts w:ascii="Arial Narrow" w:eastAsiaTheme="minorHAnsi" w:hAnsi="Arial Narrow" w:cs="Arial"/>
                <w:b/>
                <w:bCs/>
                <w:iCs/>
                <w:sz w:val="16"/>
                <w:szCs w:val="16"/>
              </w:rPr>
            </w:pPr>
            <w:r w:rsidRPr="008D2F16">
              <w:rPr>
                <w:rFonts w:ascii="Arial Narrow" w:hAnsi="Arial Narrow" w:cs="Arial"/>
                <w:b/>
                <w:bCs/>
                <w:iCs/>
                <w:sz w:val="16"/>
                <w:szCs w:val="16"/>
              </w:rPr>
              <w:t>Causa</w:t>
            </w:r>
          </w:p>
        </w:tc>
        <w:tc>
          <w:tcPr>
            <w:tcW w:w="761" w:type="pct"/>
            <w:tcBorders>
              <w:top w:val="single" w:sz="8" w:space="0" w:color="000000"/>
              <w:left w:val="nil"/>
              <w:bottom w:val="single" w:sz="8" w:space="0" w:color="000000"/>
              <w:right w:val="single" w:sz="8" w:space="0" w:color="000000"/>
            </w:tcBorders>
            <w:shd w:val="clear" w:color="auto" w:fill="BFBFBF"/>
            <w:tcMar>
              <w:top w:w="0" w:type="dxa"/>
              <w:left w:w="108" w:type="dxa"/>
              <w:bottom w:w="0" w:type="dxa"/>
              <w:right w:w="108" w:type="dxa"/>
            </w:tcMar>
            <w:hideMark/>
          </w:tcPr>
          <w:p w:rsidR="0064497B" w:rsidRPr="008D2F16" w:rsidRDefault="0064497B" w:rsidP="006C5CAA">
            <w:pPr>
              <w:rPr>
                <w:rFonts w:ascii="Arial Narrow" w:eastAsiaTheme="minorHAnsi" w:hAnsi="Arial Narrow" w:cs="Arial"/>
                <w:b/>
                <w:bCs/>
                <w:iCs/>
                <w:sz w:val="16"/>
                <w:szCs w:val="16"/>
              </w:rPr>
            </w:pPr>
            <w:r w:rsidRPr="008D2F16">
              <w:rPr>
                <w:rFonts w:ascii="Arial Narrow" w:hAnsi="Arial Narrow" w:cs="Arial"/>
                <w:b/>
                <w:bCs/>
                <w:iCs/>
                <w:sz w:val="16"/>
                <w:szCs w:val="16"/>
              </w:rPr>
              <w:t>Porcentaje</w:t>
            </w:r>
          </w:p>
        </w:tc>
        <w:tc>
          <w:tcPr>
            <w:tcW w:w="2383" w:type="pct"/>
            <w:tcBorders>
              <w:top w:val="single" w:sz="8" w:space="0" w:color="000000"/>
              <w:left w:val="nil"/>
              <w:bottom w:val="single" w:sz="8" w:space="0" w:color="000000"/>
              <w:right w:val="single" w:sz="8" w:space="0" w:color="000000"/>
            </w:tcBorders>
            <w:shd w:val="clear" w:color="auto" w:fill="BFBFBF"/>
            <w:tcMar>
              <w:top w:w="0" w:type="dxa"/>
              <w:left w:w="108" w:type="dxa"/>
              <w:bottom w:w="0" w:type="dxa"/>
              <w:right w:w="108" w:type="dxa"/>
            </w:tcMar>
            <w:hideMark/>
          </w:tcPr>
          <w:p w:rsidR="0064497B" w:rsidRPr="008D2F16" w:rsidRDefault="0064497B" w:rsidP="006C5CAA">
            <w:pPr>
              <w:rPr>
                <w:rFonts w:ascii="Arial Narrow" w:eastAsiaTheme="minorHAnsi" w:hAnsi="Arial Narrow" w:cs="Arial"/>
                <w:b/>
                <w:bCs/>
                <w:iCs/>
                <w:sz w:val="16"/>
                <w:szCs w:val="16"/>
              </w:rPr>
            </w:pPr>
            <w:r w:rsidRPr="008D2F16">
              <w:rPr>
                <w:rFonts w:ascii="Arial Narrow" w:hAnsi="Arial Narrow" w:cs="Arial"/>
                <w:b/>
                <w:bCs/>
                <w:iCs/>
                <w:sz w:val="16"/>
                <w:szCs w:val="16"/>
              </w:rPr>
              <w:t>Cálculo</w:t>
            </w:r>
          </w:p>
        </w:tc>
      </w:tr>
      <w:tr w:rsidR="0064497B" w:rsidRPr="008D2F16" w:rsidTr="00CC2ED5">
        <w:trPr>
          <w:trHeight w:val="827"/>
          <w:jc w:val="center"/>
        </w:trPr>
        <w:tc>
          <w:tcPr>
            <w:tcW w:w="1856"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4497B" w:rsidRPr="008D2F16" w:rsidRDefault="0064497B" w:rsidP="006C5CAA">
            <w:pPr>
              <w:rPr>
                <w:rFonts w:ascii="Arial Narrow" w:eastAsiaTheme="minorHAnsi" w:hAnsi="Arial Narrow" w:cs="Arial"/>
                <w:iCs/>
                <w:sz w:val="16"/>
                <w:szCs w:val="16"/>
              </w:rPr>
            </w:pPr>
            <w:r w:rsidRPr="008D2F16">
              <w:rPr>
                <w:rFonts w:ascii="Arial Narrow" w:hAnsi="Arial Narrow" w:cs="Arial"/>
                <w:iCs/>
                <w:sz w:val="16"/>
                <w:szCs w:val="16"/>
              </w:rPr>
              <w:t>Cuando el proveedor no de cumplimiento a la solicitud de canje o recolección de los bienes cuando estos no cumplan con requisitos de calidad, o con defectos o vicios ocultos, en el plazo señalado.</w:t>
            </w:r>
          </w:p>
          <w:p w:rsidR="0064497B" w:rsidRPr="008D2F16" w:rsidRDefault="0064497B" w:rsidP="006C5CAA">
            <w:pPr>
              <w:rPr>
                <w:rFonts w:ascii="Arial Narrow" w:hAnsi="Arial Narrow" w:cs="Arial"/>
                <w:iCs/>
                <w:sz w:val="16"/>
                <w:szCs w:val="16"/>
              </w:rPr>
            </w:pPr>
            <w:r w:rsidRPr="008D2F16">
              <w:rPr>
                <w:rFonts w:ascii="Arial Narrow" w:hAnsi="Arial Narrow" w:cs="Arial"/>
                <w:iCs/>
                <w:sz w:val="16"/>
                <w:szCs w:val="16"/>
              </w:rPr>
              <w:t>En los casos en los que el proveedor no realice el canje o la recolección de los bienes defectuosos y/o con vicios ocultos, conforme al párrafo anterior, el Instituto procederá a la disposición final de los mismos de acuerdo a lo establecido por la Ley General de Salud en el artículo 414 párrafo tercero. En este caso, el importe de los bienes no recolectados cuyo pago se haya efectuado, se considerará como pago en exceso y el proveedor deberá reintegrar dichas cantidades, a más tardar 15 días naturales posteriores a la solicitud por parte del Instituto, más los intereses correspondientes, conforme a la tasa que establezca la Ley de Ingresos de la Federación, en los casos de prórroga para el pago de créditos fiscales. Los intereses se calcularán sobre las cantidades pagadas en exceso y se computarán por días naturales desde la fecha en que el Instituto haya realizado el pago de dichos bienes.</w:t>
            </w:r>
          </w:p>
          <w:p w:rsidR="0064497B" w:rsidRPr="008D2F16" w:rsidRDefault="0064497B" w:rsidP="00CC2ED5">
            <w:pPr>
              <w:spacing w:after="0" w:line="240" w:lineRule="auto"/>
              <w:rPr>
                <w:rFonts w:ascii="Arial Narrow" w:eastAsiaTheme="minorHAnsi" w:hAnsi="Arial Narrow" w:cs="Arial"/>
                <w:iCs/>
                <w:sz w:val="16"/>
                <w:szCs w:val="16"/>
              </w:rPr>
            </w:pPr>
            <w:r w:rsidRPr="008D2F16">
              <w:rPr>
                <w:rFonts w:ascii="Arial Narrow" w:hAnsi="Arial Narrow" w:cs="Arial"/>
                <w:iCs/>
                <w:sz w:val="16"/>
                <w:szCs w:val="16"/>
              </w:rPr>
              <w:t xml:space="preserve">En el supuesto anterior, para el caso de los bienes, cuya disposición final sea la destrucción, el proveedor cubrirá el importe de la destrucción, a más tardar 10 días naturales posteriores a la solicitud por parte del Instituto. De no cumplir con lo anterior se considerara como pago en exceso y se </w:t>
            </w:r>
            <w:r w:rsidRPr="008D2F16">
              <w:rPr>
                <w:rFonts w:ascii="Arial Narrow" w:hAnsi="Arial Narrow" w:cs="Arial"/>
                <w:iCs/>
                <w:sz w:val="16"/>
                <w:szCs w:val="16"/>
              </w:rPr>
              <w:lastRenderedPageBreak/>
              <w:t>procederá en los términos del párrafo anterior, tomando como base la fecha límite para el cálculo de los intereses el día siguiente a la fecha límite de pago.</w:t>
            </w:r>
          </w:p>
        </w:tc>
        <w:tc>
          <w:tcPr>
            <w:tcW w:w="761" w:type="pct"/>
            <w:tcBorders>
              <w:top w:val="nil"/>
              <w:left w:val="nil"/>
              <w:bottom w:val="single" w:sz="8" w:space="0" w:color="000000"/>
              <w:right w:val="single" w:sz="8" w:space="0" w:color="000000"/>
            </w:tcBorders>
            <w:tcMar>
              <w:top w:w="0" w:type="dxa"/>
              <w:left w:w="108" w:type="dxa"/>
              <w:bottom w:w="0" w:type="dxa"/>
              <w:right w:w="108" w:type="dxa"/>
            </w:tcMar>
            <w:hideMark/>
          </w:tcPr>
          <w:p w:rsidR="0064497B" w:rsidRPr="008D2F16" w:rsidRDefault="0064497B" w:rsidP="0064497B">
            <w:pPr>
              <w:spacing w:after="0" w:line="240" w:lineRule="auto"/>
              <w:rPr>
                <w:rFonts w:ascii="Arial Narrow" w:eastAsiaTheme="minorHAnsi" w:hAnsi="Arial Narrow" w:cs="Arial"/>
                <w:iCs/>
                <w:sz w:val="16"/>
                <w:szCs w:val="16"/>
              </w:rPr>
            </w:pPr>
            <w:r w:rsidRPr="008D2F16">
              <w:rPr>
                <w:rFonts w:ascii="Arial Narrow" w:eastAsia="Times New Roman" w:hAnsi="Arial Narrow" w:cs="Arial"/>
                <w:sz w:val="18"/>
              </w:rPr>
              <w:lastRenderedPageBreak/>
              <w:t>10% del valor total de los bienes pendientes de canje o recolección.</w:t>
            </w:r>
          </w:p>
        </w:tc>
        <w:tc>
          <w:tcPr>
            <w:tcW w:w="2383" w:type="pct"/>
            <w:tcBorders>
              <w:top w:val="nil"/>
              <w:left w:val="nil"/>
              <w:bottom w:val="single" w:sz="8" w:space="0" w:color="000000"/>
              <w:right w:val="single" w:sz="8" w:space="0" w:color="000000"/>
            </w:tcBorders>
            <w:tcMar>
              <w:top w:w="0" w:type="dxa"/>
              <w:left w:w="108" w:type="dxa"/>
              <w:bottom w:w="0" w:type="dxa"/>
              <w:right w:w="108" w:type="dxa"/>
            </w:tcMar>
            <w:hideMark/>
          </w:tcPr>
          <w:p w:rsidR="0064497B" w:rsidRPr="008D2F16" w:rsidRDefault="0064497B" w:rsidP="006C5CAA">
            <w:pPr>
              <w:rPr>
                <w:rFonts w:ascii="Arial Narrow" w:eastAsiaTheme="minorHAnsi" w:hAnsi="Arial Narrow" w:cs="Arial"/>
                <w:iCs/>
                <w:sz w:val="16"/>
                <w:szCs w:val="16"/>
              </w:rPr>
            </w:pPr>
            <w:r w:rsidRPr="008D2F16">
              <w:rPr>
                <w:rFonts w:ascii="Arial Narrow" w:hAnsi="Arial Narrow" w:cs="Arial"/>
                <w:iCs/>
                <w:sz w:val="16"/>
                <w:szCs w:val="16"/>
              </w:rPr>
              <w:t>Fecha de notificación para canje o recolección + 15 días hábiles, a partir del día 16 se aplicará el 10% del valor total de los bienes pendientes de canje o recolección.</w:t>
            </w:r>
          </w:p>
        </w:tc>
      </w:tr>
      <w:tr w:rsidR="0064497B" w:rsidRPr="008D2F16" w:rsidTr="00CC2ED5">
        <w:trPr>
          <w:trHeight w:val="272"/>
          <w:jc w:val="center"/>
        </w:trPr>
        <w:tc>
          <w:tcPr>
            <w:tcW w:w="1856"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4497B" w:rsidRPr="008D2F16" w:rsidRDefault="0064497B" w:rsidP="00CC2ED5">
            <w:pPr>
              <w:spacing w:after="0" w:line="240" w:lineRule="auto"/>
              <w:rPr>
                <w:rFonts w:ascii="Arial Narrow" w:eastAsiaTheme="minorHAnsi" w:hAnsi="Arial Narrow" w:cs="Arial"/>
                <w:iCs/>
                <w:sz w:val="16"/>
                <w:szCs w:val="16"/>
              </w:rPr>
            </w:pPr>
            <w:r w:rsidRPr="008D2F16">
              <w:rPr>
                <w:rFonts w:ascii="Arial Narrow" w:hAnsi="Arial Narrow" w:cs="Arial"/>
                <w:iCs/>
                <w:sz w:val="16"/>
                <w:szCs w:val="16"/>
              </w:rPr>
              <w:lastRenderedPageBreak/>
              <w:t>Cuando el proveedor no entregue las muestras que le solicite la Coordinación de Control Técnico de Insumos (COCTI) para evaluar la calidad de los insumos entregados.</w:t>
            </w:r>
          </w:p>
        </w:tc>
        <w:tc>
          <w:tcPr>
            <w:tcW w:w="761" w:type="pct"/>
            <w:tcBorders>
              <w:top w:val="nil"/>
              <w:left w:val="nil"/>
              <w:bottom w:val="single" w:sz="8" w:space="0" w:color="000000"/>
              <w:right w:val="single" w:sz="8" w:space="0" w:color="000000"/>
            </w:tcBorders>
            <w:tcMar>
              <w:top w:w="0" w:type="dxa"/>
              <w:left w:w="108" w:type="dxa"/>
              <w:bottom w:w="0" w:type="dxa"/>
              <w:right w:w="108" w:type="dxa"/>
            </w:tcMar>
            <w:hideMark/>
          </w:tcPr>
          <w:p w:rsidR="0064497B" w:rsidRPr="008D2F16" w:rsidRDefault="0064497B" w:rsidP="00CC2ED5">
            <w:pPr>
              <w:spacing w:after="0" w:line="240" w:lineRule="auto"/>
              <w:rPr>
                <w:rFonts w:ascii="Arial Narrow" w:eastAsiaTheme="minorHAnsi" w:hAnsi="Arial Narrow" w:cs="Arial"/>
                <w:iCs/>
                <w:sz w:val="16"/>
                <w:szCs w:val="16"/>
              </w:rPr>
            </w:pPr>
            <w:r w:rsidRPr="008D2F16">
              <w:rPr>
                <w:rFonts w:ascii="Arial Narrow" w:hAnsi="Arial Narrow" w:cs="Arial"/>
                <w:iCs/>
                <w:sz w:val="16"/>
                <w:szCs w:val="16"/>
              </w:rPr>
              <w:t>10% del valor total de la clave solicitada de muestra.</w:t>
            </w:r>
          </w:p>
        </w:tc>
        <w:tc>
          <w:tcPr>
            <w:tcW w:w="2383" w:type="pct"/>
            <w:tcBorders>
              <w:top w:val="nil"/>
              <w:left w:val="nil"/>
              <w:bottom w:val="single" w:sz="8" w:space="0" w:color="000000"/>
              <w:right w:val="single" w:sz="8" w:space="0" w:color="000000"/>
            </w:tcBorders>
            <w:tcMar>
              <w:top w:w="0" w:type="dxa"/>
              <w:left w:w="108" w:type="dxa"/>
              <w:bottom w:w="0" w:type="dxa"/>
              <w:right w:w="108" w:type="dxa"/>
            </w:tcMar>
            <w:hideMark/>
          </w:tcPr>
          <w:p w:rsidR="0064497B" w:rsidRPr="008D2F16" w:rsidRDefault="0064497B" w:rsidP="006C5CAA">
            <w:pPr>
              <w:rPr>
                <w:rFonts w:ascii="Arial Narrow" w:eastAsiaTheme="minorHAnsi" w:hAnsi="Arial Narrow" w:cs="Arial"/>
                <w:iCs/>
                <w:sz w:val="16"/>
                <w:szCs w:val="16"/>
              </w:rPr>
            </w:pPr>
            <w:r w:rsidRPr="008D2F16">
              <w:rPr>
                <w:rFonts w:ascii="Arial Narrow" w:hAnsi="Arial Narrow" w:cs="Arial"/>
                <w:iCs/>
                <w:sz w:val="16"/>
                <w:szCs w:val="16"/>
              </w:rPr>
              <w:t>Fecha notificada para la entrega de la muestra, a partir del día hábil siguiente se aplicará el 10% del valor total de la clave solicitada de muestra.</w:t>
            </w:r>
          </w:p>
        </w:tc>
      </w:tr>
    </w:tbl>
    <w:p w:rsidR="0064497B" w:rsidRPr="008D2F16" w:rsidRDefault="0064497B" w:rsidP="00FB5328">
      <w:pPr>
        <w:spacing w:after="0" w:line="240" w:lineRule="auto"/>
        <w:ind w:left="708"/>
        <w:rPr>
          <w:i/>
          <w:iCs/>
          <w:sz w:val="24"/>
          <w:szCs w:val="24"/>
          <w:lang w:eastAsia="es-ES"/>
        </w:rPr>
      </w:pPr>
    </w:p>
    <w:p w:rsidR="0064497B" w:rsidRPr="008D2F16" w:rsidRDefault="0064497B" w:rsidP="00FB5328">
      <w:pPr>
        <w:spacing w:after="0" w:line="240" w:lineRule="auto"/>
        <w:ind w:left="708"/>
        <w:rPr>
          <w:rFonts w:ascii="Arial" w:hAnsi="Arial" w:cs="Arial"/>
          <w:iCs/>
          <w:lang w:eastAsia="es-ES"/>
        </w:rPr>
      </w:pPr>
      <w:r w:rsidRPr="008D2F16">
        <w:rPr>
          <w:rFonts w:ascii="Arial" w:hAnsi="Arial" w:cs="Arial"/>
          <w:iCs/>
          <w:lang w:eastAsia="es-ES"/>
        </w:rPr>
        <w:t xml:space="preserve">Se aplicará una deductiva equivalente al 2.5% diario, en caso de que el proveedor de cumplimiento parcial o deficiente a la reposición de inventarios, al no cubrir las </w:t>
      </w:r>
      <w:r w:rsidRPr="008D2F16">
        <w:rPr>
          <w:rFonts w:ascii="Arial" w:hAnsi="Arial" w:cs="Arial"/>
          <w:b/>
          <w:bCs/>
          <w:iCs/>
          <w:lang w:eastAsia="es-ES"/>
        </w:rPr>
        <w:t>cantidades mínimas</w:t>
      </w:r>
      <w:r w:rsidRPr="008D2F16">
        <w:rPr>
          <w:rFonts w:ascii="Arial" w:hAnsi="Arial" w:cs="Arial"/>
          <w:iCs/>
          <w:lang w:eastAsia="es-ES"/>
        </w:rPr>
        <w:t xml:space="preserve"> establecidas para cada delegación o UMAE que se encuentren vigentes al momento de la deducción. </w:t>
      </w:r>
    </w:p>
    <w:p w:rsidR="0064497B" w:rsidRPr="008D2F16" w:rsidRDefault="0064497B" w:rsidP="00FB5328">
      <w:pPr>
        <w:spacing w:after="0" w:line="240" w:lineRule="auto"/>
        <w:ind w:left="708"/>
        <w:rPr>
          <w:rFonts w:ascii="Arial" w:hAnsi="Arial" w:cs="Arial"/>
          <w:iCs/>
          <w:lang w:eastAsia="es-ES"/>
        </w:rPr>
      </w:pPr>
    </w:p>
    <w:p w:rsidR="0064497B" w:rsidRPr="008D2F16" w:rsidRDefault="0064497B" w:rsidP="00FB5328">
      <w:pPr>
        <w:spacing w:after="0" w:line="240" w:lineRule="auto"/>
        <w:ind w:left="708"/>
        <w:rPr>
          <w:rFonts w:ascii="Arial" w:hAnsi="Arial" w:cs="Arial"/>
          <w:iCs/>
          <w:lang w:eastAsia="es-ES"/>
        </w:rPr>
      </w:pPr>
      <w:r w:rsidRPr="008D2F16">
        <w:rPr>
          <w:rFonts w:ascii="Arial" w:hAnsi="Arial" w:cs="Arial"/>
          <w:iCs/>
          <w:lang w:eastAsia="es-ES"/>
        </w:rPr>
        <w:t>El cálculo de la deductiva se realizará de la manera siguiente:</w:t>
      </w:r>
    </w:p>
    <w:p w:rsidR="0064497B" w:rsidRPr="008D2F16" w:rsidRDefault="0064497B" w:rsidP="00FB5328">
      <w:pPr>
        <w:spacing w:after="0" w:line="240" w:lineRule="auto"/>
        <w:ind w:left="708"/>
        <w:rPr>
          <w:rFonts w:ascii="Arial" w:hAnsi="Arial" w:cs="Arial"/>
          <w:iCs/>
          <w:lang w:eastAsia="es-ES"/>
        </w:rPr>
      </w:pPr>
    </w:p>
    <w:p w:rsidR="0064497B" w:rsidRPr="008D2F16" w:rsidRDefault="0064497B" w:rsidP="00FB5328">
      <w:pPr>
        <w:spacing w:after="0" w:line="240" w:lineRule="auto"/>
        <w:ind w:left="708"/>
        <w:rPr>
          <w:rFonts w:ascii="Arial" w:hAnsi="Arial" w:cs="Arial"/>
          <w:iCs/>
          <w:lang w:eastAsia="es-ES"/>
        </w:rPr>
      </w:pPr>
      <w:r w:rsidRPr="008D2F16">
        <w:rPr>
          <w:rFonts w:ascii="Arial" w:hAnsi="Arial" w:cs="Arial"/>
          <w:iCs/>
          <w:lang w:eastAsia="es-ES"/>
        </w:rPr>
        <w:t xml:space="preserve">La deductiva se calculará a partir del sexto día, de manera diaria hasta que se reponga por el proveedor el inventario mínimo. </w:t>
      </w:r>
    </w:p>
    <w:p w:rsidR="0064497B" w:rsidRPr="008D2F16" w:rsidRDefault="0064497B" w:rsidP="00FB5328">
      <w:pPr>
        <w:spacing w:after="0" w:line="240" w:lineRule="auto"/>
        <w:ind w:left="708"/>
        <w:rPr>
          <w:rFonts w:ascii="Arial" w:hAnsi="Arial" w:cs="Arial"/>
          <w:iCs/>
          <w:lang w:eastAsia="es-ES"/>
        </w:rPr>
      </w:pPr>
    </w:p>
    <w:p w:rsidR="0064497B" w:rsidRPr="008D2F16" w:rsidRDefault="0064497B" w:rsidP="00FB5328">
      <w:pPr>
        <w:spacing w:after="0" w:line="240" w:lineRule="auto"/>
        <w:ind w:left="708"/>
        <w:rPr>
          <w:rFonts w:ascii="Arial" w:hAnsi="Arial" w:cs="Arial"/>
          <w:iCs/>
          <w:lang w:eastAsia="es-ES"/>
        </w:rPr>
      </w:pPr>
      <w:r w:rsidRPr="008D2F16">
        <w:rPr>
          <w:rFonts w:ascii="Arial" w:hAnsi="Arial" w:cs="Arial"/>
          <w:iCs/>
          <w:lang w:eastAsia="es-ES"/>
        </w:rPr>
        <w:t>Se tomara como base el importe que represente la diferencia existente entre:</w:t>
      </w:r>
    </w:p>
    <w:p w:rsidR="0064497B" w:rsidRPr="008D2F16" w:rsidRDefault="0064497B" w:rsidP="00FB5328">
      <w:pPr>
        <w:pStyle w:val="Prrafodelista"/>
        <w:ind w:left="1428"/>
        <w:rPr>
          <w:rFonts w:cs="Arial"/>
          <w:iCs/>
          <w:sz w:val="22"/>
          <w:szCs w:val="22"/>
        </w:rPr>
      </w:pPr>
    </w:p>
    <w:p w:rsidR="0064497B" w:rsidRPr="008D2F16" w:rsidRDefault="0064497B" w:rsidP="00FB5328">
      <w:pPr>
        <w:pStyle w:val="Prrafodelista"/>
        <w:numPr>
          <w:ilvl w:val="0"/>
          <w:numId w:val="3"/>
        </w:numPr>
        <w:ind w:left="1428"/>
        <w:rPr>
          <w:rFonts w:cs="Arial"/>
          <w:iCs/>
          <w:sz w:val="22"/>
          <w:szCs w:val="22"/>
        </w:rPr>
      </w:pPr>
      <w:r w:rsidRPr="008D2F16">
        <w:rPr>
          <w:rFonts w:cs="Arial"/>
          <w:iCs/>
          <w:sz w:val="22"/>
          <w:szCs w:val="22"/>
        </w:rPr>
        <w:t xml:space="preserve">La existencia que se reporte al día cada delegación o UMAE y el inventario mínimo vigente para cada </w:t>
      </w:r>
      <w:r w:rsidRPr="008D2F16">
        <w:rPr>
          <w:rFonts w:cs="Arial"/>
          <w:iCs/>
          <w:sz w:val="22"/>
          <w:szCs w:val="22"/>
          <w:lang w:val="es-MX"/>
        </w:rPr>
        <w:t>D</w:t>
      </w:r>
      <w:proofErr w:type="spellStart"/>
      <w:r w:rsidRPr="008D2F16">
        <w:rPr>
          <w:rFonts w:cs="Arial"/>
          <w:iCs/>
          <w:sz w:val="22"/>
          <w:szCs w:val="22"/>
        </w:rPr>
        <w:t>elegación</w:t>
      </w:r>
      <w:proofErr w:type="spellEnd"/>
      <w:r w:rsidRPr="008D2F16">
        <w:rPr>
          <w:rFonts w:cs="Arial"/>
          <w:iCs/>
          <w:sz w:val="22"/>
          <w:szCs w:val="22"/>
        </w:rPr>
        <w:t xml:space="preserve"> o UMAE.</w:t>
      </w:r>
    </w:p>
    <w:p w:rsidR="0064497B" w:rsidRPr="008D2F16" w:rsidRDefault="0064497B" w:rsidP="00FB5328">
      <w:pPr>
        <w:spacing w:after="0" w:line="240" w:lineRule="auto"/>
        <w:ind w:left="708"/>
        <w:rPr>
          <w:rFonts w:ascii="Arial" w:hAnsi="Arial" w:cs="Arial"/>
          <w:iCs/>
          <w:lang w:eastAsia="es-ES"/>
        </w:rPr>
      </w:pPr>
    </w:p>
    <w:p w:rsidR="0064497B" w:rsidRPr="008D2F16" w:rsidRDefault="0064497B" w:rsidP="00FB5328">
      <w:pPr>
        <w:spacing w:after="0" w:line="240" w:lineRule="auto"/>
        <w:ind w:left="708"/>
        <w:rPr>
          <w:rFonts w:ascii="Arial" w:hAnsi="Arial" w:cs="Arial"/>
          <w:iCs/>
          <w:lang w:eastAsia="es-ES"/>
        </w:rPr>
      </w:pPr>
      <w:r w:rsidRPr="008D2F16">
        <w:rPr>
          <w:rFonts w:ascii="Arial" w:hAnsi="Arial" w:cs="Arial"/>
          <w:iCs/>
          <w:lang w:eastAsia="es-ES"/>
        </w:rPr>
        <w:t xml:space="preserve">Se sancionará de manera diaria, hasta llegar el 10% de la garantía de cumplimiento; para determinar dicho importe, la Delegación o UMAE, considerará el diez por ciento del importe de la cobertura que respecto a cada contrato se otorgue de manera inicial en base a su requerimiento; la cual será notificada al proveedor. </w:t>
      </w:r>
    </w:p>
    <w:p w:rsidR="0064497B" w:rsidRPr="008D2F16" w:rsidRDefault="0064497B" w:rsidP="00FB5328">
      <w:pPr>
        <w:spacing w:after="0" w:line="240" w:lineRule="auto"/>
        <w:ind w:left="708"/>
        <w:rPr>
          <w:rFonts w:ascii="Arial" w:hAnsi="Arial" w:cs="Arial"/>
          <w:iCs/>
          <w:lang w:eastAsia="es-ES"/>
        </w:rPr>
      </w:pPr>
    </w:p>
    <w:p w:rsidR="0064497B" w:rsidRPr="008D2F16" w:rsidRDefault="0064497B" w:rsidP="00FB5328">
      <w:pPr>
        <w:spacing w:after="0" w:line="240" w:lineRule="auto"/>
        <w:ind w:left="708"/>
        <w:rPr>
          <w:rFonts w:ascii="Arial" w:hAnsi="Arial" w:cs="Arial"/>
          <w:iCs/>
          <w:lang w:eastAsia="es-ES"/>
        </w:rPr>
      </w:pPr>
      <w:r w:rsidRPr="008D2F16">
        <w:rPr>
          <w:rFonts w:ascii="Arial" w:hAnsi="Arial" w:cs="Arial"/>
          <w:iCs/>
          <w:lang w:eastAsia="es-ES"/>
        </w:rPr>
        <w:t>Rebasado dicho importe, la Delegación o UMAE, podrá continuar aplicando la sanción, salvo que el proveedor acredite que el monto de sanciones aplicadas para el contrato supera el monto de la garantía de cumplimiento; en este supuesto la Delegación o UMAE, podrá solicitar a la Coordinación de Control al Abasto, la rescisión administrativa del mismo.</w:t>
      </w:r>
    </w:p>
    <w:p w:rsidR="0064497B" w:rsidRPr="008D2F16" w:rsidRDefault="0064497B" w:rsidP="00FB5328">
      <w:pPr>
        <w:spacing w:after="0" w:line="240" w:lineRule="auto"/>
        <w:ind w:left="708"/>
        <w:rPr>
          <w:rFonts w:ascii="Arial" w:hAnsi="Arial" w:cs="Arial"/>
          <w:iCs/>
          <w:lang w:eastAsia="es-ES"/>
        </w:rPr>
      </w:pPr>
    </w:p>
    <w:p w:rsidR="0064497B" w:rsidRPr="008D2F16" w:rsidRDefault="0064497B" w:rsidP="00FB5328">
      <w:pPr>
        <w:spacing w:after="0" w:line="240" w:lineRule="auto"/>
        <w:ind w:left="708"/>
        <w:rPr>
          <w:rFonts w:ascii="Arial" w:hAnsi="Arial" w:cs="Arial"/>
          <w:iCs/>
          <w:lang w:eastAsia="es-ES"/>
        </w:rPr>
      </w:pPr>
      <w:r w:rsidRPr="008D2F16">
        <w:rPr>
          <w:rFonts w:ascii="Arial" w:hAnsi="Arial" w:cs="Arial"/>
          <w:iCs/>
          <w:lang w:eastAsia="es-ES"/>
        </w:rPr>
        <w:t>Únicamente se podrá excluir la aplicación de deductivas en caso de caso fortuito o fuerza mayor, que deberá ser plenamente acreditado por el proveedor a los administradores de contrato. (Delegaciones o UMAES).</w:t>
      </w:r>
    </w:p>
    <w:p w:rsidR="0064497B" w:rsidRPr="008D2F16" w:rsidRDefault="0064497B" w:rsidP="00FB5328">
      <w:pPr>
        <w:spacing w:after="0" w:line="240" w:lineRule="auto"/>
        <w:ind w:left="708"/>
        <w:rPr>
          <w:rFonts w:ascii="Arial" w:hAnsi="Arial" w:cs="Arial"/>
          <w:iCs/>
          <w:lang w:eastAsia="es-ES"/>
        </w:rPr>
      </w:pPr>
    </w:p>
    <w:p w:rsidR="0064497B" w:rsidRPr="008D2F16" w:rsidRDefault="0064497B" w:rsidP="00FB5328">
      <w:pPr>
        <w:spacing w:after="0" w:line="240" w:lineRule="auto"/>
        <w:ind w:left="708"/>
        <w:rPr>
          <w:rFonts w:ascii="Arial" w:hAnsi="Arial" w:cs="Arial"/>
          <w:iCs/>
          <w:lang w:eastAsia="es-ES"/>
        </w:rPr>
      </w:pPr>
      <w:r w:rsidRPr="008D2F16">
        <w:rPr>
          <w:rFonts w:ascii="Arial" w:hAnsi="Arial" w:cs="Arial"/>
          <w:iCs/>
          <w:lang w:eastAsia="es-ES"/>
        </w:rPr>
        <w:t xml:space="preserve">Cuando el proveedor deba realizar entregas adicionales a Delegaciones o UMAES, por el </w:t>
      </w:r>
      <w:proofErr w:type="spellStart"/>
      <w:r w:rsidRPr="008D2F16">
        <w:rPr>
          <w:rFonts w:ascii="Arial" w:hAnsi="Arial" w:cs="Arial"/>
          <w:iCs/>
          <w:lang w:eastAsia="es-ES"/>
        </w:rPr>
        <w:t>saldamiento</w:t>
      </w:r>
      <w:proofErr w:type="spellEnd"/>
      <w:r w:rsidRPr="008D2F16">
        <w:rPr>
          <w:rFonts w:ascii="Arial" w:hAnsi="Arial" w:cs="Arial"/>
          <w:iCs/>
          <w:lang w:eastAsia="es-ES"/>
        </w:rPr>
        <w:t xml:space="preserve"> de contrato, y no entregue dentro del plazo máximo de cinco días naturales, se aplicará deductiva por el 2.5% de los bienes que no haya entregado en el plazo otorgado, hasta que cumpla con la obligación. </w:t>
      </w:r>
    </w:p>
    <w:p w:rsidR="00EC7768" w:rsidRDefault="00087B84" w:rsidP="00EC7768">
      <w:pPr>
        <w:rPr>
          <w:rFonts w:cs="Arial"/>
        </w:rPr>
      </w:pPr>
      <w:r w:rsidRPr="008D2F16">
        <w:rPr>
          <w:rFonts w:ascii="Arial" w:hAnsi="Arial" w:cs="Arial"/>
        </w:rPr>
        <w:t xml:space="preserve"> </w:t>
      </w:r>
    </w:p>
    <w:p w:rsidR="00EC7768" w:rsidRDefault="00EC7768" w:rsidP="00EC7768">
      <w:pPr>
        <w:spacing w:after="0" w:line="240" w:lineRule="auto"/>
        <w:rPr>
          <w:rFonts w:ascii="Arial" w:hAnsi="Arial"/>
          <w:b/>
          <w:szCs w:val="18"/>
          <w:lang w:eastAsia="es-ES"/>
        </w:rPr>
      </w:pPr>
      <w:r w:rsidRPr="0064497B">
        <w:rPr>
          <w:rFonts w:ascii="Arial" w:hAnsi="Arial"/>
          <w:b/>
          <w:szCs w:val="18"/>
          <w:lang w:val="x-none" w:eastAsia="es-ES"/>
        </w:rPr>
        <w:t>Entrega hospitalaria</w:t>
      </w:r>
    </w:p>
    <w:p w:rsidR="00EC7768" w:rsidRPr="0064497B" w:rsidRDefault="00EC7768" w:rsidP="00EC7768">
      <w:pPr>
        <w:spacing w:after="0" w:line="240" w:lineRule="auto"/>
        <w:rPr>
          <w:rFonts w:ascii="Arial" w:hAnsi="Arial"/>
          <w:b/>
          <w:szCs w:val="18"/>
          <w:lang w:eastAsia="es-ES"/>
        </w:rPr>
      </w:pPr>
    </w:p>
    <w:p w:rsidR="00EC7768" w:rsidRPr="0064497B" w:rsidRDefault="00EC7768" w:rsidP="00EC7768">
      <w:pPr>
        <w:spacing w:after="0" w:line="240" w:lineRule="auto"/>
        <w:rPr>
          <w:rFonts w:ascii="Arial" w:hAnsi="Arial" w:cs="Arial"/>
        </w:rPr>
      </w:pPr>
      <w:r w:rsidRPr="0064497B">
        <w:rPr>
          <w:rFonts w:ascii="Arial" w:hAnsi="Arial" w:cs="Arial"/>
        </w:rPr>
        <w:t>Para el IMSS, además de resultar aplicable las condiciones descritas en</w:t>
      </w:r>
      <w:r>
        <w:rPr>
          <w:rFonts w:ascii="Arial" w:hAnsi="Arial" w:cs="Arial"/>
        </w:rPr>
        <w:t xml:space="preserve"> los términos y </w:t>
      </w:r>
      <w:proofErr w:type="spellStart"/>
      <w:r>
        <w:rPr>
          <w:rFonts w:ascii="Arial" w:hAnsi="Arial" w:cs="Arial"/>
        </w:rPr>
        <w:t>condicioens</w:t>
      </w:r>
      <w:proofErr w:type="spellEnd"/>
      <w:r w:rsidRPr="0064497B">
        <w:rPr>
          <w:rFonts w:ascii="Arial" w:hAnsi="Arial" w:cs="Arial"/>
        </w:rPr>
        <w:t>, deberá cumplirse con lo siguiente:</w:t>
      </w:r>
    </w:p>
    <w:p w:rsidR="00EC7768" w:rsidRDefault="00EC7768" w:rsidP="00EC7768">
      <w:pPr>
        <w:spacing w:after="0" w:line="240" w:lineRule="auto"/>
        <w:rPr>
          <w:rFonts w:ascii="Arial" w:hAnsi="Arial" w:cs="Arial"/>
          <w:b/>
        </w:rPr>
      </w:pPr>
    </w:p>
    <w:p w:rsidR="00EC7768" w:rsidRPr="0064497B" w:rsidRDefault="00EC7768" w:rsidP="00EC7768">
      <w:pPr>
        <w:spacing w:after="0" w:line="240" w:lineRule="auto"/>
        <w:rPr>
          <w:rFonts w:ascii="Arial" w:hAnsi="Arial" w:cs="Arial"/>
          <w:b/>
          <w:i/>
        </w:rPr>
      </w:pPr>
      <w:r w:rsidRPr="0064497B">
        <w:rPr>
          <w:rFonts w:ascii="Arial" w:hAnsi="Arial" w:cs="Arial"/>
          <w:b/>
        </w:rPr>
        <w:lastRenderedPageBreak/>
        <w:t>Confidencialidad</w:t>
      </w:r>
    </w:p>
    <w:p w:rsidR="00EC7768" w:rsidRPr="0064497B" w:rsidRDefault="00EC7768" w:rsidP="00EC7768">
      <w:pPr>
        <w:spacing w:after="0" w:line="240" w:lineRule="auto"/>
        <w:rPr>
          <w:rFonts w:ascii="Arial" w:hAnsi="Arial" w:cs="Arial"/>
        </w:rPr>
      </w:pPr>
    </w:p>
    <w:p w:rsidR="00EC7768" w:rsidRPr="0064497B" w:rsidRDefault="00EC7768" w:rsidP="00EC7768">
      <w:pPr>
        <w:spacing w:after="0" w:line="240" w:lineRule="auto"/>
        <w:rPr>
          <w:rFonts w:ascii="Arial" w:hAnsi="Arial" w:cs="Arial"/>
        </w:rPr>
      </w:pPr>
      <w:r w:rsidRPr="0064497B">
        <w:rPr>
          <w:rFonts w:ascii="Arial" w:hAnsi="Arial" w:cs="Arial"/>
        </w:rPr>
        <w:t>La participación del proveedor que resulte adjudicado, así como del o los laboratorios relacionados con la elaboración de los insumos no deberá realizar ningún tipo de contacto personal con el  paciente, familiar, tutor o representante legal, sino siempre a través de los canales institucionales implementados para tal efecto.</w:t>
      </w:r>
    </w:p>
    <w:p w:rsidR="00EC7768" w:rsidRPr="0064497B" w:rsidRDefault="00EC7768" w:rsidP="00EC7768">
      <w:pPr>
        <w:spacing w:after="0" w:line="240" w:lineRule="auto"/>
        <w:rPr>
          <w:rFonts w:ascii="Arial" w:hAnsi="Arial" w:cs="Arial"/>
        </w:rPr>
      </w:pPr>
    </w:p>
    <w:p w:rsidR="00EC7768" w:rsidRPr="0064497B" w:rsidRDefault="00EC7768" w:rsidP="00EC7768">
      <w:pPr>
        <w:spacing w:after="0" w:line="240" w:lineRule="auto"/>
        <w:rPr>
          <w:rFonts w:ascii="Arial" w:hAnsi="Arial" w:cs="Arial"/>
        </w:rPr>
      </w:pPr>
      <w:r w:rsidRPr="0064497B">
        <w:rPr>
          <w:rFonts w:ascii="Arial" w:hAnsi="Arial" w:cs="Arial"/>
        </w:rPr>
        <w:t xml:space="preserve">Todo incumplimiento a lo previsto por esta cláusula, será causal de rescisión de los contratos celebrados con los proveedores asignados. </w:t>
      </w:r>
    </w:p>
    <w:p w:rsidR="00EC7768" w:rsidRPr="0064497B" w:rsidRDefault="00EC7768" w:rsidP="00EC7768">
      <w:pPr>
        <w:spacing w:after="0" w:line="240" w:lineRule="auto"/>
        <w:rPr>
          <w:rFonts w:ascii="Arial" w:hAnsi="Arial" w:cs="Arial"/>
        </w:rPr>
      </w:pPr>
    </w:p>
    <w:p w:rsidR="00EC7768" w:rsidRPr="0064497B" w:rsidRDefault="00EC7768" w:rsidP="00EC7768">
      <w:pPr>
        <w:spacing w:after="0" w:line="240" w:lineRule="auto"/>
        <w:rPr>
          <w:rFonts w:ascii="Arial" w:hAnsi="Arial" w:cs="Arial"/>
          <w:b/>
        </w:rPr>
      </w:pPr>
      <w:r w:rsidRPr="0064497B">
        <w:rPr>
          <w:rFonts w:ascii="Arial" w:hAnsi="Arial" w:cs="Arial"/>
          <w:b/>
        </w:rPr>
        <w:t>Pruebas Diagnósticas</w:t>
      </w:r>
    </w:p>
    <w:p w:rsidR="00EC7768" w:rsidRPr="0064497B" w:rsidRDefault="00EC7768" w:rsidP="00EC7768">
      <w:pPr>
        <w:pStyle w:val="Prrafodelista"/>
        <w:ind w:left="1080"/>
        <w:rPr>
          <w:rFonts w:cs="Arial"/>
          <w:b/>
        </w:rPr>
      </w:pPr>
    </w:p>
    <w:p w:rsidR="00EC7768" w:rsidRPr="0064497B" w:rsidRDefault="00EC7768" w:rsidP="00EC7768">
      <w:pPr>
        <w:spacing w:after="0" w:line="240" w:lineRule="auto"/>
        <w:rPr>
          <w:rFonts w:ascii="Arial" w:hAnsi="Arial" w:cs="Arial"/>
        </w:rPr>
      </w:pPr>
      <w:r w:rsidRPr="0064497B">
        <w:rPr>
          <w:rFonts w:ascii="Arial" w:hAnsi="Arial" w:cs="Arial"/>
        </w:rPr>
        <w:t>En caso de haber sido pactado por la Comisión Coordinadora para la Negociación de Precios e Insumos para la Salud, el otorgamiento sin costo para el Instituto de la realización de pruebas diagnósticas, debiendo observar lo siguiente:</w:t>
      </w:r>
    </w:p>
    <w:p w:rsidR="00EC7768" w:rsidRPr="0064497B" w:rsidRDefault="00EC7768" w:rsidP="00EC7768">
      <w:pPr>
        <w:spacing w:after="0" w:line="240" w:lineRule="auto"/>
        <w:rPr>
          <w:rFonts w:ascii="Arial" w:hAnsi="Arial" w:cs="Arial"/>
        </w:rPr>
      </w:pPr>
    </w:p>
    <w:p w:rsidR="00EC7768" w:rsidRPr="0064497B" w:rsidRDefault="00EC7768" w:rsidP="00EC7768">
      <w:pPr>
        <w:numPr>
          <w:ilvl w:val="0"/>
          <w:numId w:val="4"/>
        </w:numPr>
        <w:spacing w:after="0" w:line="240" w:lineRule="auto"/>
        <w:ind w:left="1134"/>
        <w:rPr>
          <w:rFonts w:ascii="Arial" w:eastAsia="Times New Roman" w:hAnsi="Arial" w:cs="Arial"/>
          <w:lang w:eastAsia="ar-SA"/>
        </w:rPr>
      </w:pPr>
      <w:r w:rsidRPr="0064497B">
        <w:rPr>
          <w:rFonts w:ascii="Arial" w:eastAsia="Times New Roman" w:hAnsi="Arial" w:cs="Arial"/>
          <w:lang w:eastAsia="ar-SA"/>
        </w:rPr>
        <w:t>Las pruebas diagnósticas que por medio de las empresas farmacéuticas se realicen, serán sin cargo alguno para el Instituto y sin que esto medie compromiso alguno para el inicio o modificación de sus decisiones clínicas o terapéuticas.</w:t>
      </w:r>
    </w:p>
    <w:p w:rsidR="00EC7768" w:rsidRPr="0064497B" w:rsidRDefault="00EC7768" w:rsidP="00EC7768">
      <w:pPr>
        <w:numPr>
          <w:ilvl w:val="0"/>
          <w:numId w:val="4"/>
        </w:numPr>
        <w:spacing w:after="0" w:line="240" w:lineRule="auto"/>
        <w:ind w:left="1134"/>
        <w:rPr>
          <w:rFonts w:ascii="Arial" w:eastAsia="Times New Roman" w:hAnsi="Arial" w:cs="Arial"/>
          <w:lang w:eastAsia="ar-SA"/>
        </w:rPr>
      </w:pPr>
      <w:r w:rsidRPr="0064497B">
        <w:rPr>
          <w:rFonts w:ascii="Arial" w:eastAsia="Times New Roman" w:hAnsi="Arial" w:cs="Arial"/>
          <w:lang w:eastAsia="ar-SA"/>
        </w:rPr>
        <w:t>Las pruebas diagnósticas serán solicitadas de manera indistinta por el Instituto a alguno de los proveedores adjudicados, sin ser esta una condicionante para que el tratamiento de los pacientes  le sea otorgado a quien realizó dicho diagnóstico.</w:t>
      </w:r>
    </w:p>
    <w:p w:rsidR="00EC7768" w:rsidRPr="0064497B" w:rsidRDefault="00EC7768" w:rsidP="00EC7768">
      <w:pPr>
        <w:numPr>
          <w:ilvl w:val="0"/>
          <w:numId w:val="4"/>
        </w:numPr>
        <w:spacing w:after="0" w:line="240" w:lineRule="auto"/>
        <w:ind w:left="1134"/>
        <w:rPr>
          <w:rFonts w:ascii="Arial" w:eastAsia="Times New Roman" w:hAnsi="Arial" w:cs="Arial"/>
          <w:lang w:eastAsia="ar-SA"/>
        </w:rPr>
      </w:pPr>
      <w:r w:rsidRPr="0064497B">
        <w:rPr>
          <w:rFonts w:ascii="Arial" w:eastAsia="Times New Roman" w:hAnsi="Arial" w:cs="Arial"/>
          <w:lang w:eastAsia="ar-SA"/>
        </w:rPr>
        <w:t>Los estudios de laboratorio se realizarán a solicitud específica del Instituto Mexicano del Seguro Social y el procedimiento de toma de las muestras sanguíneas, se realizará dentro de las instalaciones y el personal del mismo.</w:t>
      </w:r>
    </w:p>
    <w:p w:rsidR="00EC7768" w:rsidRPr="0064497B" w:rsidRDefault="00EC7768" w:rsidP="00EC7768">
      <w:pPr>
        <w:numPr>
          <w:ilvl w:val="0"/>
          <w:numId w:val="4"/>
        </w:numPr>
        <w:spacing w:after="0" w:line="240" w:lineRule="auto"/>
        <w:ind w:left="1134"/>
        <w:rPr>
          <w:rFonts w:ascii="Arial" w:eastAsia="Times New Roman" w:hAnsi="Arial" w:cs="Arial"/>
          <w:lang w:eastAsia="ar-SA"/>
        </w:rPr>
      </w:pPr>
      <w:r w:rsidRPr="0064497B">
        <w:rPr>
          <w:rFonts w:ascii="Arial" w:eastAsia="Times New Roman" w:hAnsi="Arial" w:cs="Arial"/>
          <w:lang w:eastAsia="ar-SA"/>
        </w:rPr>
        <w:t xml:space="preserve">Los datos personales a los cuales pertenece la muestra será de carácter confidencial y la industria farmacéutica no tendrá acceso a ella. </w:t>
      </w:r>
    </w:p>
    <w:p w:rsidR="00EC7768" w:rsidRPr="0064497B" w:rsidRDefault="00EC7768" w:rsidP="00EC7768">
      <w:pPr>
        <w:numPr>
          <w:ilvl w:val="0"/>
          <w:numId w:val="4"/>
        </w:numPr>
        <w:spacing w:after="0" w:line="240" w:lineRule="auto"/>
        <w:ind w:left="1134"/>
        <w:rPr>
          <w:rFonts w:ascii="Arial" w:eastAsia="Times New Roman" w:hAnsi="Arial" w:cs="Arial"/>
          <w:lang w:eastAsia="ar-SA"/>
        </w:rPr>
      </w:pPr>
      <w:r w:rsidRPr="0064497B">
        <w:rPr>
          <w:rFonts w:ascii="Arial" w:eastAsia="Times New Roman" w:hAnsi="Arial" w:cs="Arial"/>
          <w:lang w:eastAsia="ar-SA"/>
        </w:rPr>
        <w:t>La empresa farmacéutica  se comprometerá a acreditar la certificación de calidad del laboratorio en el cual se procesará la muestra y entregará a este Instituto los resultados del estudio en el período de tiempo especificado para ello.</w:t>
      </w:r>
    </w:p>
    <w:p w:rsidR="00EC7768" w:rsidRPr="0064497B" w:rsidRDefault="00EC7768" w:rsidP="00EC7768">
      <w:pPr>
        <w:numPr>
          <w:ilvl w:val="0"/>
          <w:numId w:val="4"/>
        </w:numPr>
        <w:spacing w:after="0" w:line="240" w:lineRule="auto"/>
        <w:ind w:left="1134"/>
        <w:rPr>
          <w:rFonts w:ascii="Arial" w:eastAsia="Times New Roman" w:hAnsi="Arial" w:cs="Arial"/>
          <w:lang w:eastAsia="ar-SA"/>
        </w:rPr>
      </w:pPr>
      <w:r w:rsidRPr="0064497B">
        <w:rPr>
          <w:rFonts w:ascii="Arial" w:eastAsia="Times New Roman" w:hAnsi="Arial" w:cs="Arial"/>
          <w:lang w:eastAsia="ar-SA"/>
        </w:rPr>
        <w:t>Una vez entregada la muestra al representante del proveedor adjudicado, será responsabilidad de este la logística hasta ser devuelto el resultado al Instituto.</w:t>
      </w:r>
    </w:p>
    <w:p w:rsidR="00EC7768" w:rsidRPr="0064497B" w:rsidRDefault="00EC7768" w:rsidP="00EC7768">
      <w:pPr>
        <w:numPr>
          <w:ilvl w:val="0"/>
          <w:numId w:val="4"/>
        </w:numPr>
        <w:spacing w:after="0" w:line="240" w:lineRule="auto"/>
        <w:ind w:left="1134"/>
        <w:rPr>
          <w:rFonts w:ascii="Arial" w:eastAsia="Times New Roman" w:hAnsi="Arial" w:cs="Arial"/>
          <w:lang w:eastAsia="ar-SA"/>
        </w:rPr>
      </w:pPr>
      <w:r w:rsidRPr="0064497B">
        <w:rPr>
          <w:rFonts w:ascii="Arial" w:eastAsia="Times New Roman" w:hAnsi="Arial" w:cs="Arial"/>
          <w:lang w:eastAsia="ar-SA"/>
        </w:rPr>
        <w:t xml:space="preserve">El proveedor adjudicado asumirá el total de los costos relacionados con el proceso de pruebas diagnósticas. </w:t>
      </w:r>
    </w:p>
    <w:p w:rsidR="00EC7768" w:rsidRPr="0064497B" w:rsidRDefault="00EC7768" w:rsidP="00EC7768">
      <w:pPr>
        <w:pStyle w:val="Prrafodelista"/>
        <w:ind w:left="1080"/>
        <w:rPr>
          <w:b/>
          <w:sz w:val="22"/>
          <w:szCs w:val="22"/>
          <w:lang w:val="es-MX"/>
        </w:rPr>
      </w:pPr>
    </w:p>
    <w:p w:rsidR="00EC7768" w:rsidRPr="0064497B" w:rsidRDefault="00EC7768" w:rsidP="00EC7768">
      <w:pPr>
        <w:spacing w:after="0" w:line="240" w:lineRule="auto"/>
        <w:rPr>
          <w:rFonts w:ascii="Arial" w:hAnsi="Arial" w:cs="Arial"/>
          <w:b/>
        </w:rPr>
      </w:pPr>
      <w:r w:rsidRPr="0064497B">
        <w:rPr>
          <w:rFonts w:ascii="Arial" w:hAnsi="Arial" w:cs="Arial"/>
          <w:b/>
        </w:rPr>
        <w:t>Traspasos</w:t>
      </w:r>
    </w:p>
    <w:p w:rsidR="00EC7768" w:rsidRPr="0064497B" w:rsidRDefault="00EC7768" w:rsidP="00EC7768">
      <w:pPr>
        <w:spacing w:after="0" w:line="240" w:lineRule="auto"/>
      </w:pPr>
    </w:p>
    <w:p w:rsidR="00EC7768" w:rsidRPr="0064497B" w:rsidRDefault="00EC7768" w:rsidP="00EC7768">
      <w:pPr>
        <w:spacing w:after="0" w:line="240" w:lineRule="auto"/>
        <w:rPr>
          <w:rFonts w:ascii="Arial" w:hAnsi="Arial" w:cs="Arial"/>
        </w:rPr>
      </w:pPr>
      <w:r w:rsidRPr="0064497B">
        <w:rPr>
          <w:rFonts w:ascii="Arial" w:hAnsi="Arial" w:cs="Arial"/>
        </w:rPr>
        <w:t>En caso de que sea necesario realizar traspasos entre las unidades del Instituto de estos medicamentos, derivado de fallecimiento, suspensión de tratamientos o cambios de adscripción, se solicitará mediante oficio al proveedor adjudicado para que realice el traslado de los mismos.</w:t>
      </w:r>
    </w:p>
    <w:p w:rsidR="00EC7768" w:rsidRPr="0064497B" w:rsidRDefault="00EC7768" w:rsidP="00EC7768">
      <w:pPr>
        <w:spacing w:after="0" w:line="240" w:lineRule="auto"/>
        <w:rPr>
          <w:rFonts w:ascii="Arial" w:hAnsi="Arial" w:cs="Arial"/>
        </w:rPr>
      </w:pPr>
    </w:p>
    <w:p w:rsidR="00EC7768" w:rsidRDefault="00EC7768" w:rsidP="00EC7768">
      <w:pPr>
        <w:spacing w:after="0" w:line="240" w:lineRule="auto"/>
        <w:rPr>
          <w:rFonts w:ascii="Arial" w:hAnsi="Arial" w:cs="Arial"/>
        </w:rPr>
      </w:pPr>
      <w:r w:rsidRPr="0064497B">
        <w:rPr>
          <w:rFonts w:ascii="Arial" w:hAnsi="Arial" w:cs="Arial"/>
        </w:rPr>
        <w:t>Cabe señalar que dichos movimientos se realizarán sin cargo adicional para el Instituto en un periodo máximo de cuarenta y cinco días naturales a partir de la notificación al proveedor, cabe señalar que previamente se habrá consultado a las unidades involucradas a fin de agilizar el procedimiento.</w:t>
      </w:r>
      <w:r>
        <w:rPr>
          <w:rFonts w:ascii="Arial" w:hAnsi="Arial" w:cs="Arial"/>
        </w:rPr>
        <w:t xml:space="preserve"> </w:t>
      </w:r>
    </w:p>
    <w:p w:rsidR="00EC7768" w:rsidRDefault="00EC7768" w:rsidP="00EC7768">
      <w:pPr>
        <w:spacing w:after="0" w:line="240" w:lineRule="auto"/>
        <w:rPr>
          <w:rFonts w:ascii="Arial" w:hAnsi="Arial" w:cs="Arial"/>
          <w:b/>
          <w:iCs/>
        </w:rPr>
      </w:pPr>
    </w:p>
    <w:p w:rsidR="00EC7768" w:rsidRDefault="00EC7768" w:rsidP="00EC7768">
      <w:pPr>
        <w:spacing w:after="0" w:line="240" w:lineRule="auto"/>
        <w:rPr>
          <w:rFonts w:ascii="Arial" w:hAnsi="Arial" w:cs="Arial"/>
          <w:b/>
          <w:iCs/>
        </w:rPr>
      </w:pPr>
      <w:r>
        <w:rPr>
          <w:rFonts w:ascii="Arial" w:hAnsi="Arial" w:cs="Arial"/>
          <w:b/>
          <w:iCs/>
        </w:rPr>
        <w:t>Deductiva</w:t>
      </w:r>
    </w:p>
    <w:p w:rsidR="00EC7768" w:rsidRDefault="00EC7768" w:rsidP="00EC7768">
      <w:pPr>
        <w:spacing w:after="0" w:line="240" w:lineRule="auto"/>
        <w:rPr>
          <w:rFonts w:ascii="Arial" w:hAnsi="Arial" w:cs="Arial"/>
          <w:b/>
          <w:iCs/>
        </w:rPr>
      </w:pPr>
    </w:p>
    <w:p w:rsidR="00EC7768" w:rsidRDefault="00EC7768" w:rsidP="00EC7768">
      <w:pPr>
        <w:spacing w:line="240" w:lineRule="auto"/>
        <w:rPr>
          <w:rFonts w:ascii="Arial" w:hAnsi="Arial" w:cs="Arial"/>
        </w:rPr>
      </w:pPr>
      <w:r>
        <w:rPr>
          <w:rFonts w:ascii="Arial" w:hAnsi="Arial" w:cs="Arial"/>
        </w:rPr>
        <w:lastRenderedPageBreak/>
        <w:t>El IMSS, las Dependencias y Entidades consolidadas, c</w:t>
      </w:r>
      <w:r w:rsidRPr="00825216">
        <w:rPr>
          <w:rFonts w:ascii="Arial" w:hAnsi="Arial" w:cs="Arial"/>
        </w:rPr>
        <w:t>on fundamento en lo dispuesto en el Artículo 53 Bis de la Ley de Adquisiciones, Arrendamientos y Servicios del Sector Público, se aplicará deductivas en los siguientes casos:</w:t>
      </w:r>
    </w:p>
    <w:tbl>
      <w:tblPr>
        <w:tblW w:w="0" w:type="auto"/>
        <w:jc w:val="center"/>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9"/>
        <w:gridCol w:w="2718"/>
        <w:gridCol w:w="3334"/>
      </w:tblGrid>
      <w:tr w:rsidR="00EC7768" w:rsidRPr="008C1DD9" w:rsidTr="002D50E1">
        <w:trPr>
          <w:tblHeader/>
          <w:jc w:val="center"/>
        </w:trPr>
        <w:tc>
          <w:tcPr>
            <w:tcW w:w="3119" w:type="dxa"/>
            <w:shd w:val="clear" w:color="auto" w:fill="BFBFBF"/>
          </w:tcPr>
          <w:p w:rsidR="00EC7768" w:rsidRPr="008C1DD9" w:rsidRDefault="00EC7768" w:rsidP="002D50E1">
            <w:pPr>
              <w:pStyle w:val="Prrafodelista"/>
              <w:ind w:left="0"/>
              <w:jc w:val="center"/>
              <w:rPr>
                <w:rFonts w:eastAsia="Times New Roman" w:cs="Arial"/>
                <w:b/>
                <w:sz w:val="22"/>
                <w:szCs w:val="22"/>
                <w:lang w:val="es-MX" w:eastAsia="en-US"/>
              </w:rPr>
            </w:pPr>
            <w:r w:rsidRPr="008C1DD9">
              <w:rPr>
                <w:rFonts w:eastAsia="Times New Roman" w:cs="Arial"/>
                <w:b/>
                <w:sz w:val="22"/>
                <w:szCs w:val="22"/>
                <w:lang w:val="es-MX" w:eastAsia="en-US"/>
              </w:rPr>
              <w:t>Causa</w:t>
            </w:r>
          </w:p>
        </w:tc>
        <w:tc>
          <w:tcPr>
            <w:tcW w:w="2718" w:type="dxa"/>
            <w:shd w:val="clear" w:color="auto" w:fill="BFBFBF"/>
          </w:tcPr>
          <w:p w:rsidR="00EC7768" w:rsidRPr="008C1DD9" w:rsidRDefault="00EC7768" w:rsidP="002D50E1">
            <w:pPr>
              <w:pStyle w:val="Prrafodelista"/>
              <w:ind w:left="0"/>
              <w:jc w:val="center"/>
              <w:rPr>
                <w:rFonts w:eastAsia="Times New Roman" w:cs="Arial"/>
                <w:b/>
                <w:sz w:val="22"/>
                <w:szCs w:val="22"/>
                <w:lang w:val="es-MX" w:eastAsia="en-US"/>
              </w:rPr>
            </w:pPr>
            <w:r w:rsidRPr="008C1DD9">
              <w:rPr>
                <w:rFonts w:eastAsia="Times New Roman" w:cs="Arial"/>
                <w:b/>
                <w:sz w:val="22"/>
                <w:szCs w:val="22"/>
                <w:lang w:val="es-MX" w:eastAsia="en-US"/>
              </w:rPr>
              <w:t>Porcentaje</w:t>
            </w:r>
          </w:p>
        </w:tc>
        <w:tc>
          <w:tcPr>
            <w:tcW w:w="3334" w:type="dxa"/>
            <w:shd w:val="clear" w:color="auto" w:fill="BFBFBF"/>
          </w:tcPr>
          <w:p w:rsidR="00EC7768" w:rsidRPr="008C1DD9" w:rsidRDefault="00EC7768" w:rsidP="002D50E1">
            <w:pPr>
              <w:pStyle w:val="Prrafodelista"/>
              <w:ind w:left="0"/>
              <w:jc w:val="center"/>
              <w:rPr>
                <w:rFonts w:eastAsia="Times New Roman" w:cs="Arial"/>
                <w:b/>
                <w:sz w:val="22"/>
                <w:szCs w:val="22"/>
                <w:lang w:val="es-MX" w:eastAsia="en-US"/>
              </w:rPr>
            </w:pPr>
            <w:r w:rsidRPr="008C1DD9">
              <w:rPr>
                <w:rFonts w:eastAsia="Times New Roman" w:cs="Arial"/>
                <w:b/>
                <w:sz w:val="22"/>
                <w:szCs w:val="22"/>
                <w:lang w:val="es-MX" w:eastAsia="en-US"/>
              </w:rPr>
              <w:t>Cálculo</w:t>
            </w:r>
          </w:p>
        </w:tc>
      </w:tr>
      <w:tr w:rsidR="00EC7768" w:rsidRPr="008C1DD9" w:rsidTr="002D50E1">
        <w:trPr>
          <w:jc w:val="center"/>
        </w:trPr>
        <w:tc>
          <w:tcPr>
            <w:tcW w:w="3119" w:type="dxa"/>
            <w:shd w:val="clear" w:color="auto" w:fill="auto"/>
          </w:tcPr>
          <w:p w:rsidR="00EC7768" w:rsidRDefault="00EC7768" w:rsidP="002D50E1">
            <w:pPr>
              <w:spacing w:after="0"/>
              <w:rPr>
                <w:rFonts w:ascii="Arial" w:eastAsia="Times New Roman" w:hAnsi="Arial" w:cs="Arial"/>
                <w:b/>
                <w:sz w:val="18"/>
              </w:rPr>
            </w:pPr>
            <w:r w:rsidRPr="002671BD">
              <w:rPr>
                <w:rFonts w:ascii="Arial" w:eastAsia="Times New Roman" w:hAnsi="Arial" w:cs="Arial"/>
                <w:b/>
                <w:sz w:val="18"/>
              </w:rPr>
              <w:t>PA</w:t>
            </w:r>
            <w:r>
              <w:rPr>
                <w:rFonts w:ascii="Arial" w:eastAsia="Times New Roman" w:hAnsi="Arial" w:cs="Arial"/>
                <w:b/>
                <w:sz w:val="18"/>
              </w:rPr>
              <w:t>RA EL IMSS</w:t>
            </w:r>
          </w:p>
          <w:p w:rsidR="00EC7768" w:rsidRPr="002671BD" w:rsidRDefault="00EC7768" w:rsidP="002D50E1">
            <w:pPr>
              <w:spacing w:after="0"/>
              <w:rPr>
                <w:rFonts w:ascii="Arial" w:eastAsia="Times New Roman" w:hAnsi="Arial" w:cs="Arial"/>
                <w:b/>
                <w:sz w:val="18"/>
              </w:rPr>
            </w:pPr>
            <w:r w:rsidRPr="002671BD">
              <w:rPr>
                <w:rFonts w:ascii="Arial" w:eastAsia="Times New Roman" w:hAnsi="Arial" w:cs="Arial"/>
                <w:sz w:val="18"/>
              </w:rPr>
              <w:t>Cuando el licitante adjudicado no realice los movimientos de traspaso dentro de los cuarenta y cinco días naturales a partir de la notificación.</w:t>
            </w:r>
            <w:r w:rsidRPr="002671BD">
              <w:rPr>
                <w:rFonts w:ascii="Arial" w:eastAsia="Times New Roman" w:hAnsi="Arial" w:cs="Arial"/>
                <w:b/>
                <w:sz w:val="18"/>
              </w:rPr>
              <w:t xml:space="preserve"> </w:t>
            </w:r>
          </w:p>
          <w:p w:rsidR="00EC7768" w:rsidRPr="008C1DD9" w:rsidRDefault="00EC7768" w:rsidP="002D50E1">
            <w:pPr>
              <w:spacing w:after="0"/>
              <w:rPr>
                <w:rFonts w:ascii="Arial" w:eastAsia="Times New Roman" w:hAnsi="Arial" w:cs="Arial"/>
                <w:b/>
                <w:sz w:val="18"/>
              </w:rPr>
            </w:pPr>
          </w:p>
        </w:tc>
        <w:tc>
          <w:tcPr>
            <w:tcW w:w="2718" w:type="dxa"/>
            <w:shd w:val="clear" w:color="auto" w:fill="auto"/>
          </w:tcPr>
          <w:p w:rsidR="00EC7768" w:rsidRPr="002671BD" w:rsidRDefault="00EC7768" w:rsidP="002D50E1">
            <w:pPr>
              <w:spacing w:after="0"/>
              <w:rPr>
                <w:rFonts w:ascii="Arial" w:eastAsia="Times New Roman" w:hAnsi="Arial" w:cs="Arial"/>
                <w:sz w:val="18"/>
              </w:rPr>
            </w:pPr>
            <w:r w:rsidRPr="002671BD">
              <w:rPr>
                <w:rFonts w:ascii="Arial" w:eastAsia="Times New Roman" w:hAnsi="Arial" w:cs="Arial"/>
                <w:sz w:val="18"/>
              </w:rPr>
              <w:t xml:space="preserve">10% del valor total de la clave solicitada para traspaso no realizado </w:t>
            </w:r>
          </w:p>
        </w:tc>
        <w:tc>
          <w:tcPr>
            <w:tcW w:w="3334" w:type="dxa"/>
            <w:shd w:val="clear" w:color="auto" w:fill="auto"/>
          </w:tcPr>
          <w:p w:rsidR="00EC7768" w:rsidRPr="008C1DD9" w:rsidRDefault="00EC7768" w:rsidP="002D50E1">
            <w:pPr>
              <w:pStyle w:val="Prrafodelista"/>
              <w:ind w:left="0"/>
              <w:rPr>
                <w:rFonts w:eastAsia="Times New Roman" w:cs="Arial"/>
                <w:sz w:val="18"/>
                <w:szCs w:val="22"/>
                <w:lang w:val="es-MX" w:eastAsia="en-US"/>
              </w:rPr>
            </w:pPr>
          </w:p>
          <w:p w:rsidR="00EC7768" w:rsidRPr="008C1DD9" w:rsidRDefault="00EC7768" w:rsidP="002D50E1">
            <w:pPr>
              <w:pStyle w:val="Prrafodelista"/>
              <w:ind w:left="0"/>
              <w:rPr>
                <w:rFonts w:eastAsia="Times New Roman" w:cs="Arial"/>
                <w:sz w:val="18"/>
                <w:szCs w:val="22"/>
                <w:lang w:val="es-MX" w:eastAsia="en-US"/>
              </w:rPr>
            </w:pPr>
            <w:r w:rsidRPr="008C1DD9">
              <w:rPr>
                <w:rFonts w:eastAsia="Times New Roman" w:cs="Arial"/>
                <w:sz w:val="18"/>
                <w:szCs w:val="22"/>
                <w:lang w:val="es-MX" w:eastAsia="en-US"/>
              </w:rPr>
              <w:t xml:space="preserve">Fecha notificada para </w:t>
            </w:r>
            <w:r>
              <w:rPr>
                <w:rFonts w:eastAsia="Times New Roman" w:cs="Arial"/>
                <w:sz w:val="18"/>
                <w:szCs w:val="22"/>
                <w:lang w:val="es-MX" w:eastAsia="en-US"/>
              </w:rPr>
              <w:t xml:space="preserve">realizar el traspaso, a partir del día cuarenta y seis </w:t>
            </w:r>
            <w:r w:rsidRPr="008C1DD9">
              <w:rPr>
                <w:rFonts w:eastAsia="Times New Roman" w:cs="Arial"/>
                <w:sz w:val="18"/>
                <w:szCs w:val="22"/>
                <w:lang w:val="es-MX" w:eastAsia="en-US"/>
              </w:rPr>
              <w:t xml:space="preserve">se aplicará </w:t>
            </w:r>
            <w:r>
              <w:rPr>
                <w:rFonts w:eastAsia="Times New Roman" w:cs="Arial"/>
                <w:sz w:val="18"/>
                <w:szCs w:val="22"/>
                <w:lang w:val="es-MX" w:eastAsia="en-US"/>
              </w:rPr>
              <w:t xml:space="preserve">una sanción por </w:t>
            </w:r>
            <w:r w:rsidRPr="008C1DD9">
              <w:rPr>
                <w:rFonts w:eastAsia="Times New Roman" w:cs="Arial"/>
                <w:sz w:val="18"/>
                <w:szCs w:val="22"/>
                <w:lang w:val="es-MX" w:eastAsia="en-US"/>
              </w:rPr>
              <w:t xml:space="preserve">el 10% del valor total de la clave solicitada </w:t>
            </w:r>
            <w:r>
              <w:rPr>
                <w:rFonts w:eastAsia="Times New Roman" w:cs="Arial"/>
                <w:sz w:val="18"/>
                <w:szCs w:val="22"/>
                <w:lang w:val="es-MX" w:eastAsia="en-US"/>
              </w:rPr>
              <w:t>para traspaso no realizado.</w:t>
            </w:r>
          </w:p>
        </w:tc>
      </w:tr>
    </w:tbl>
    <w:p w:rsidR="00EC7768" w:rsidRDefault="00EC7768" w:rsidP="00EC7768">
      <w:pPr>
        <w:spacing w:after="0" w:line="240" w:lineRule="auto"/>
        <w:rPr>
          <w:rFonts w:ascii="Arial" w:hAnsi="Arial" w:cs="Arial"/>
          <w:b/>
          <w:iCs/>
        </w:rPr>
      </w:pPr>
    </w:p>
    <w:p w:rsidR="00EF7896" w:rsidRPr="008D2F16" w:rsidRDefault="00EF7896" w:rsidP="00CC2ED5">
      <w:pPr>
        <w:spacing w:line="240" w:lineRule="auto"/>
        <w:rPr>
          <w:rFonts w:ascii="Arial" w:hAnsi="Arial" w:cs="Arial"/>
        </w:rPr>
      </w:pPr>
    </w:p>
    <w:sectPr w:rsidR="00EF7896" w:rsidRPr="008D2F16" w:rsidSect="00324456">
      <w:headerReference w:type="even" r:id="rId10"/>
      <w:headerReference w:type="default" r:id="rId11"/>
      <w:footerReference w:type="default" r:id="rId12"/>
      <w:headerReference w:type="first" r:id="rId13"/>
      <w:pgSz w:w="12240" w:h="15840" w:code="1"/>
      <w:pgMar w:top="2095" w:right="1134"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0542" w:rsidRDefault="00710542">
      <w:pPr>
        <w:spacing w:after="0" w:line="240" w:lineRule="auto"/>
      </w:pPr>
      <w:r>
        <w:separator/>
      </w:r>
    </w:p>
  </w:endnote>
  <w:endnote w:type="continuationSeparator" w:id="0">
    <w:p w:rsidR="00710542" w:rsidRDefault="00710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F16" w:rsidRDefault="008D2F16">
    <w:pPr>
      <w:pStyle w:val="Piedepgina"/>
      <w:jc w:val="center"/>
      <w:rPr>
        <w:sz w:val="16"/>
        <w:szCs w:val="16"/>
      </w:rPr>
    </w:pPr>
  </w:p>
  <w:p w:rsidR="00CC2ED5" w:rsidRDefault="008D2F16" w:rsidP="00324456">
    <w:pPr>
      <w:pStyle w:val="Piedepgina"/>
      <w:jc w:val="center"/>
    </w:pPr>
    <w:r w:rsidRPr="00A71D09">
      <w:rPr>
        <w:sz w:val="16"/>
        <w:szCs w:val="16"/>
      </w:rPr>
      <w:fldChar w:fldCharType="begin"/>
    </w:r>
    <w:r w:rsidRPr="00A71D09">
      <w:rPr>
        <w:sz w:val="16"/>
        <w:szCs w:val="16"/>
      </w:rPr>
      <w:instrText>PAGE   \* MERGEFORMAT</w:instrText>
    </w:r>
    <w:r w:rsidRPr="00A71D09">
      <w:rPr>
        <w:sz w:val="16"/>
        <w:szCs w:val="16"/>
      </w:rPr>
      <w:fldChar w:fldCharType="separate"/>
    </w:r>
    <w:r w:rsidR="00EC7768" w:rsidRPr="00EC7768">
      <w:rPr>
        <w:noProof/>
        <w:sz w:val="16"/>
        <w:szCs w:val="16"/>
        <w:lang w:val="es-ES"/>
      </w:rPr>
      <w:t>1</w:t>
    </w:r>
    <w:r w:rsidRPr="00A71D09">
      <w:rPr>
        <w:sz w:val="16"/>
        <w:szCs w:val="16"/>
      </w:rPr>
      <w:fldChar w:fldCharType="end"/>
    </w:r>
    <w:r w:rsidR="00CC2ED5">
      <w:rPr>
        <w:sz w:val="16"/>
        <w:szCs w:val="16"/>
      </w:rPr>
      <w:t>/ Condiciones particulares IMSS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0542" w:rsidRDefault="00710542">
      <w:pPr>
        <w:spacing w:after="0" w:line="240" w:lineRule="auto"/>
      </w:pPr>
      <w:r>
        <w:separator/>
      </w:r>
    </w:p>
  </w:footnote>
  <w:footnote w:type="continuationSeparator" w:id="0">
    <w:p w:rsidR="00710542" w:rsidRDefault="007105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F16" w:rsidRDefault="009F113A">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09460" o:spid="_x0000_s2050" type="#_x0000_t75" style="position:absolute;left:0;text-align:left;margin-left:0;margin-top:0;width:498.3pt;height:461.35pt;z-index:-251656192;mso-position-horizontal:center;mso-position-horizontal-relative:margin;mso-position-vertical:center;mso-position-vertical-relative:margin" o:allowincell="f">
          <v:imagedata r:id="rId1" o:title="IMSS"/>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F16" w:rsidRDefault="008D2F16" w:rsidP="00324456">
    <w:pPr>
      <w:pStyle w:val="Encabezado"/>
    </w:pPr>
    <w:r>
      <w:rPr>
        <w:noProof/>
        <w:lang w:val="es-ES" w:eastAsia="es-ES"/>
      </w:rPr>
      <mc:AlternateContent>
        <mc:Choice Requires="wps">
          <w:drawing>
            <wp:anchor distT="0" distB="0" distL="114300" distR="114300" simplePos="0" relativeHeight="251663360" behindDoc="1" locked="0" layoutInCell="1" allowOverlap="1" wp14:anchorId="254A810D" wp14:editId="36458D8A">
              <wp:simplePos x="0" y="0"/>
              <wp:positionH relativeFrom="column">
                <wp:posOffset>1514475</wp:posOffset>
              </wp:positionH>
              <wp:positionV relativeFrom="paragraph">
                <wp:posOffset>-107315</wp:posOffset>
              </wp:positionV>
              <wp:extent cx="4333875" cy="695325"/>
              <wp:effectExtent l="9525" t="6985" r="9525" b="12065"/>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3875" cy="695325"/>
                      </a:xfrm>
                      <a:prstGeom prst="rect">
                        <a:avLst/>
                      </a:prstGeom>
                      <a:solidFill>
                        <a:srgbClr val="FFFFFF"/>
                      </a:solidFill>
                      <a:ln w="9525">
                        <a:solidFill>
                          <a:srgbClr val="FFFFFF"/>
                        </a:solidFill>
                        <a:miter lim="800000"/>
                        <a:headEnd/>
                        <a:tailEnd/>
                      </a:ln>
                    </wps:spPr>
                    <wps:txbx>
                      <w:txbxContent>
                        <w:p w:rsidR="008D2F16" w:rsidRPr="00D5325A" w:rsidRDefault="008D2F16" w:rsidP="00324456">
                          <w:pPr>
                            <w:spacing w:after="0" w:line="240" w:lineRule="auto"/>
                            <w:rPr>
                              <w:rFonts w:ascii="Palatino Linotype" w:hAnsi="Palatino Linotype"/>
                              <w:b/>
                              <w:color w:val="000000"/>
                              <w:sz w:val="18"/>
                              <w:szCs w:val="18"/>
                            </w:rPr>
                          </w:pPr>
                        </w:p>
                        <w:p w:rsidR="008D2F16" w:rsidRPr="00D5325A" w:rsidRDefault="008D2F16" w:rsidP="00324456">
                          <w:pPr>
                            <w:spacing w:after="0" w:line="240" w:lineRule="auto"/>
                            <w:jc w:val="right"/>
                            <w:rPr>
                              <w:rFonts w:ascii="Palatino Linotype" w:hAnsi="Palatino Linotype"/>
                              <w:b/>
                              <w:color w:val="000000"/>
                              <w:sz w:val="18"/>
                              <w:szCs w:val="18"/>
                            </w:rPr>
                          </w:pPr>
                          <w:r w:rsidRPr="00D5325A">
                            <w:rPr>
                              <w:rFonts w:ascii="Palatino Linotype" w:hAnsi="Palatino Linotype"/>
                              <w:b/>
                              <w:color w:val="000000"/>
                              <w:sz w:val="18"/>
                              <w:szCs w:val="18"/>
                            </w:rPr>
                            <w:t>DIRECCIÓN DE ADMINISTRAC</w:t>
                          </w:r>
                          <w:r>
                            <w:rPr>
                              <w:rFonts w:ascii="Palatino Linotype" w:hAnsi="Palatino Linotype"/>
                              <w:b/>
                              <w:color w:val="000000"/>
                              <w:sz w:val="18"/>
                              <w:szCs w:val="18"/>
                            </w:rPr>
                            <w:t>IÓN</w:t>
                          </w:r>
                        </w:p>
                        <w:p w:rsidR="008D2F16" w:rsidRPr="00D5325A" w:rsidRDefault="008D2F16" w:rsidP="00324456">
                          <w:pPr>
                            <w:spacing w:after="0" w:line="240" w:lineRule="auto"/>
                            <w:jc w:val="right"/>
                            <w:rPr>
                              <w:rFonts w:ascii="Palatino Linotype" w:hAnsi="Palatino Linotype"/>
                              <w:color w:val="000000"/>
                              <w:sz w:val="18"/>
                              <w:szCs w:val="18"/>
                            </w:rPr>
                          </w:pPr>
                          <w:r w:rsidRPr="00D5325A">
                            <w:rPr>
                              <w:rFonts w:ascii="Palatino Linotype" w:hAnsi="Palatino Linotype"/>
                              <w:color w:val="000000"/>
                              <w:sz w:val="18"/>
                              <w:szCs w:val="18"/>
                            </w:rPr>
                            <w:t>UNIDAD DE ADMINISTRACI</w:t>
                          </w:r>
                          <w:r>
                            <w:rPr>
                              <w:rFonts w:ascii="Palatino Linotype" w:hAnsi="Palatino Linotype"/>
                              <w:color w:val="000000"/>
                              <w:sz w:val="18"/>
                              <w:szCs w:val="18"/>
                            </w:rPr>
                            <w:t>Ó</w:t>
                          </w:r>
                          <w:r w:rsidRPr="00D5325A">
                            <w:rPr>
                              <w:rFonts w:ascii="Palatino Linotype" w:hAnsi="Palatino Linotype"/>
                              <w:color w:val="000000"/>
                              <w:sz w:val="18"/>
                              <w:szCs w:val="18"/>
                            </w:rPr>
                            <w:t>N</w:t>
                          </w:r>
                        </w:p>
                        <w:p w:rsidR="008D2F16" w:rsidRPr="00D5325A" w:rsidRDefault="008D2F16" w:rsidP="00324456">
                          <w:pPr>
                            <w:spacing w:after="0" w:line="240" w:lineRule="auto"/>
                            <w:jc w:val="right"/>
                            <w:rPr>
                              <w:rFonts w:ascii="Palatino Linotype" w:hAnsi="Palatino Linotype"/>
                              <w:color w:val="000000"/>
                              <w:sz w:val="18"/>
                              <w:szCs w:val="18"/>
                            </w:rPr>
                          </w:pPr>
                          <w:r w:rsidRPr="00D5325A">
                            <w:rPr>
                              <w:rFonts w:ascii="Palatino Linotype" w:hAnsi="Palatino Linotype"/>
                              <w:color w:val="000000"/>
                              <w:sz w:val="18"/>
                              <w:szCs w:val="18"/>
                            </w:rPr>
                            <w:t>COORDINACIÓN DE CONTROL DE ABASTO</w:t>
                          </w:r>
                        </w:p>
                        <w:p w:rsidR="008D2F16" w:rsidRPr="00D5325A" w:rsidRDefault="008D2F16" w:rsidP="00324456">
                          <w:pPr>
                            <w:rPr>
                              <w:rFonts w:ascii="Palatino Linotype" w:hAnsi="Palatino Linotype"/>
                              <w:b/>
                              <w:color w:val="000000"/>
                              <w:sz w:val="18"/>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 o:spid="_x0000_s1026" type="#_x0000_t202" style="position:absolute;left:0;text-align:left;margin-left:119.25pt;margin-top:-8.45pt;width:341.25pt;height:54.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" strokecolor="white">
              <v:textbox>
                <w:txbxContent>
                  <w:p w:rsidR="008D2F16" w:rsidRPr="00D5325A" w:rsidRDefault="008D2F16" w:rsidP="00324456">
                    <w:pPr>
                      <w:spacing w:after="0" w:line="240" w:lineRule="auto"/>
                      <w:rPr>
                        <w:rFonts w:ascii="Palatino Linotype" w:hAnsi="Palatino Linotype"/>
                        <w:b/>
                        <w:color w:val="000000"/>
                        <w:sz w:val="18"/>
                        <w:szCs w:val="18"/>
                      </w:rPr>
                    </w:pPr>
                  </w:p>
                  <w:p w:rsidR="008D2F16" w:rsidRPr="00D5325A" w:rsidRDefault="008D2F16" w:rsidP="00324456">
                    <w:pPr>
                      <w:spacing w:after="0" w:line="240" w:lineRule="auto"/>
                      <w:jc w:val="right"/>
                      <w:rPr>
                        <w:rFonts w:ascii="Palatino Linotype" w:hAnsi="Palatino Linotype"/>
                        <w:b/>
                        <w:color w:val="000000"/>
                        <w:sz w:val="18"/>
                        <w:szCs w:val="18"/>
                      </w:rPr>
                    </w:pPr>
                    <w:r w:rsidRPr="00D5325A">
                      <w:rPr>
                        <w:rFonts w:ascii="Palatino Linotype" w:hAnsi="Palatino Linotype"/>
                        <w:b/>
                        <w:color w:val="000000"/>
                        <w:sz w:val="18"/>
                        <w:szCs w:val="18"/>
                      </w:rPr>
                      <w:t>DIRECCIÓN DE ADMINISTRAC</w:t>
                    </w:r>
                    <w:r>
                      <w:rPr>
                        <w:rFonts w:ascii="Palatino Linotype" w:hAnsi="Palatino Linotype"/>
                        <w:b/>
                        <w:color w:val="000000"/>
                        <w:sz w:val="18"/>
                        <w:szCs w:val="18"/>
                      </w:rPr>
                      <w:t>IÓN</w:t>
                    </w:r>
                  </w:p>
                  <w:p w:rsidR="008D2F16" w:rsidRPr="00D5325A" w:rsidRDefault="008D2F16" w:rsidP="00324456">
                    <w:pPr>
                      <w:spacing w:after="0" w:line="240" w:lineRule="auto"/>
                      <w:jc w:val="right"/>
                      <w:rPr>
                        <w:rFonts w:ascii="Palatino Linotype" w:hAnsi="Palatino Linotype"/>
                        <w:color w:val="000000"/>
                        <w:sz w:val="18"/>
                        <w:szCs w:val="18"/>
                      </w:rPr>
                    </w:pPr>
                    <w:r w:rsidRPr="00D5325A">
                      <w:rPr>
                        <w:rFonts w:ascii="Palatino Linotype" w:hAnsi="Palatino Linotype"/>
                        <w:color w:val="000000"/>
                        <w:sz w:val="18"/>
                        <w:szCs w:val="18"/>
                      </w:rPr>
                      <w:t>UNIDAD DE ADMINISTRACI</w:t>
                    </w:r>
                    <w:r>
                      <w:rPr>
                        <w:rFonts w:ascii="Palatino Linotype" w:hAnsi="Palatino Linotype"/>
                        <w:color w:val="000000"/>
                        <w:sz w:val="18"/>
                        <w:szCs w:val="18"/>
                      </w:rPr>
                      <w:t>Ó</w:t>
                    </w:r>
                    <w:r w:rsidRPr="00D5325A">
                      <w:rPr>
                        <w:rFonts w:ascii="Palatino Linotype" w:hAnsi="Palatino Linotype"/>
                        <w:color w:val="000000"/>
                        <w:sz w:val="18"/>
                        <w:szCs w:val="18"/>
                      </w:rPr>
                      <w:t>N</w:t>
                    </w:r>
                  </w:p>
                  <w:p w:rsidR="008D2F16" w:rsidRPr="00D5325A" w:rsidRDefault="008D2F16" w:rsidP="00324456">
                    <w:pPr>
                      <w:spacing w:after="0" w:line="240" w:lineRule="auto"/>
                      <w:jc w:val="right"/>
                      <w:rPr>
                        <w:rFonts w:ascii="Palatino Linotype" w:hAnsi="Palatino Linotype"/>
                        <w:color w:val="000000"/>
                        <w:sz w:val="18"/>
                        <w:szCs w:val="18"/>
                      </w:rPr>
                    </w:pPr>
                    <w:r w:rsidRPr="00D5325A">
                      <w:rPr>
                        <w:rFonts w:ascii="Palatino Linotype" w:hAnsi="Palatino Linotype"/>
                        <w:color w:val="000000"/>
                        <w:sz w:val="18"/>
                        <w:szCs w:val="18"/>
                      </w:rPr>
                      <w:t>COORDINACIÓN DE CONTROL DE ABASTO</w:t>
                    </w:r>
                  </w:p>
                  <w:p w:rsidR="008D2F16" w:rsidRPr="00D5325A" w:rsidRDefault="008D2F16" w:rsidP="00324456">
                    <w:pPr>
                      <w:rPr>
                        <w:rFonts w:ascii="Palatino Linotype" w:hAnsi="Palatino Linotype"/>
                        <w:b/>
                        <w:color w:val="000000"/>
                        <w:sz w:val="18"/>
                        <w:szCs w:val="18"/>
                      </w:rPr>
                    </w:pPr>
                  </w:p>
                </w:txbxContent>
              </v:textbox>
            </v:shape>
          </w:pict>
        </mc:Fallback>
      </mc:AlternateContent>
    </w:r>
    <w:r>
      <w:rPr>
        <w:noProof/>
        <w:lang w:val="es-ES" w:eastAsia="es-ES"/>
      </w:rPr>
      <w:drawing>
        <wp:anchor distT="0" distB="0" distL="114300" distR="114300" simplePos="0" relativeHeight="251662336" behindDoc="0" locked="0" layoutInCell="1" allowOverlap="1" wp14:anchorId="2553BB5B" wp14:editId="18474BD5">
          <wp:simplePos x="0" y="0"/>
          <wp:positionH relativeFrom="column">
            <wp:posOffset>5803900</wp:posOffset>
          </wp:positionH>
          <wp:positionV relativeFrom="paragraph">
            <wp:posOffset>-22860</wp:posOffset>
          </wp:positionV>
          <wp:extent cx="581660" cy="715645"/>
          <wp:effectExtent l="0" t="0" r="8890" b="825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660" cy="7156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ES" w:eastAsia="es-ES"/>
      </w:rPr>
      <w:drawing>
        <wp:anchor distT="0" distB="0" distL="114300" distR="114300" simplePos="0" relativeHeight="251661312" behindDoc="0" locked="0" layoutInCell="1" allowOverlap="1" wp14:anchorId="0234DF95" wp14:editId="41720942">
          <wp:simplePos x="0" y="0"/>
          <wp:positionH relativeFrom="column">
            <wp:posOffset>-92710</wp:posOffset>
          </wp:positionH>
          <wp:positionV relativeFrom="paragraph">
            <wp:posOffset>23495</wp:posOffset>
          </wp:positionV>
          <wp:extent cx="2077085" cy="669290"/>
          <wp:effectExtent l="0" t="0" r="0" b="0"/>
          <wp:wrapNone/>
          <wp:docPr id="1" name="Imagen 1" descr="LOGO MEX HOR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LOGO MEX HORIZ"/>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7085" cy="6692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D2F16" w:rsidRDefault="008D2F16" w:rsidP="00324456">
    <w:pPr>
      <w:pStyle w:val="Encabezado"/>
    </w:pPr>
  </w:p>
  <w:p w:rsidR="008D2F16" w:rsidRDefault="008D2F16" w:rsidP="00324456">
    <w:pPr>
      <w:pStyle w:val="Encabezado"/>
    </w:pPr>
  </w:p>
  <w:p w:rsidR="008D2F16" w:rsidRDefault="008D2F16" w:rsidP="00324456">
    <w:pPr>
      <w:pStyle w:val="Encabezado"/>
    </w:pPr>
  </w:p>
  <w:p w:rsidR="008D2F16" w:rsidRDefault="008D2F16" w:rsidP="00324456">
    <w:pPr>
      <w:ind w:left="567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F16" w:rsidRDefault="009F113A">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09459" o:spid="_x0000_s2049" type="#_x0000_t75" style="position:absolute;left:0;text-align:left;margin-left:0;margin-top:0;width:498.3pt;height:461.35pt;z-index:-251657216;mso-position-horizontal:center;mso-position-horizontal-relative:margin;mso-position-vertical:center;mso-position-vertical-relative:margin" o:allowincell="f">
          <v:imagedata r:id="rId1" o:title="IMSS"/>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pStyle w:val="Ttu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AB5423"/>
    <w:multiLevelType w:val="hybridMultilevel"/>
    <w:tmpl w:val="16B8083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
    <w:nsid w:val="2107403D"/>
    <w:multiLevelType w:val="hybridMultilevel"/>
    <w:tmpl w:val="439C05C0"/>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D640B22"/>
    <w:multiLevelType w:val="hybridMultilevel"/>
    <w:tmpl w:val="72DA9E2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
    <w:nsid w:val="2E8A2EC4"/>
    <w:multiLevelType w:val="hybridMultilevel"/>
    <w:tmpl w:val="954400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406A594D"/>
    <w:multiLevelType w:val="hybridMultilevel"/>
    <w:tmpl w:val="46A453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564D12FF"/>
    <w:multiLevelType w:val="hybridMultilevel"/>
    <w:tmpl w:val="E520B0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71F466DA"/>
    <w:multiLevelType w:val="hybridMultilevel"/>
    <w:tmpl w:val="739C9FB0"/>
    <w:lvl w:ilvl="0" w:tplc="3A2AE59E">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lvlOverride w:ilvl="0">
      <w:startOverride w:val="1"/>
    </w:lvlOverride>
    <w:lvlOverride w:ilvl="1"/>
    <w:lvlOverride w:ilvl="2"/>
    <w:lvlOverride w:ilvl="3"/>
    <w:lvlOverride w:ilvl="4"/>
    <w:lvlOverride w:ilvl="5"/>
    <w:lvlOverride w:ilvl="6"/>
    <w:lvlOverride w:ilvl="7"/>
    <w:lvlOverride w:ilvl="8"/>
  </w:num>
  <w:num w:numId="5">
    <w:abstractNumId w:val="6"/>
  </w:num>
  <w:num w:numId="6">
    <w:abstractNumId w:val="7"/>
  </w:num>
  <w:num w:numId="7">
    <w:abstractNumId w:val="4"/>
  </w:num>
  <w:num w:numId="8">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4FA"/>
    <w:rsid w:val="0000614D"/>
    <w:rsid w:val="00021D5D"/>
    <w:rsid w:val="00024500"/>
    <w:rsid w:val="00027879"/>
    <w:rsid w:val="0005602B"/>
    <w:rsid w:val="00077155"/>
    <w:rsid w:val="0008492E"/>
    <w:rsid w:val="00087B84"/>
    <w:rsid w:val="00090C35"/>
    <w:rsid w:val="000971C4"/>
    <w:rsid w:val="000A4C4D"/>
    <w:rsid w:val="000B0D64"/>
    <w:rsid w:val="000B28E4"/>
    <w:rsid w:val="000B3F53"/>
    <w:rsid w:val="000B7FA5"/>
    <w:rsid w:val="000C1ACE"/>
    <w:rsid w:val="000C5C91"/>
    <w:rsid w:val="000D0C98"/>
    <w:rsid w:val="000E3E9B"/>
    <w:rsid w:val="000E524E"/>
    <w:rsid w:val="0014635D"/>
    <w:rsid w:val="0014638C"/>
    <w:rsid w:val="00167789"/>
    <w:rsid w:val="001747A7"/>
    <w:rsid w:val="001800DC"/>
    <w:rsid w:val="00181767"/>
    <w:rsid w:val="00194139"/>
    <w:rsid w:val="00195CA6"/>
    <w:rsid w:val="00197A55"/>
    <w:rsid w:val="001A3720"/>
    <w:rsid w:val="001A4E12"/>
    <w:rsid w:val="001B01DE"/>
    <w:rsid w:val="001B3EAB"/>
    <w:rsid w:val="001C585C"/>
    <w:rsid w:val="001D227F"/>
    <w:rsid w:val="001E5081"/>
    <w:rsid w:val="00207ACD"/>
    <w:rsid w:val="00226EF4"/>
    <w:rsid w:val="00227CF9"/>
    <w:rsid w:val="00231D19"/>
    <w:rsid w:val="00243219"/>
    <w:rsid w:val="00250251"/>
    <w:rsid w:val="002671BD"/>
    <w:rsid w:val="00280E00"/>
    <w:rsid w:val="0028201E"/>
    <w:rsid w:val="00303C2C"/>
    <w:rsid w:val="00304BDB"/>
    <w:rsid w:val="00324456"/>
    <w:rsid w:val="0033650A"/>
    <w:rsid w:val="0034448B"/>
    <w:rsid w:val="00346E0B"/>
    <w:rsid w:val="00351E8E"/>
    <w:rsid w:val="00354DA7"/>
    <w:rsid w:val="00374355"/>
    <w:rsid w:val="0038308E"/>
    <w:rsid w:val="003857BE"/>
    <w:rsid w:val="00390044"/>
    <w:rsid w:val="003912FE"/>
    <w:rsid w:val="003C073F"/>
    <w:rsid w:val="003C6D5E"/>
    <w:rsid w:val="003E477C"/>
    <w:rsid w:val="003F16C0"/>
    <w:rsid w:val="003F2F33"/>
    <w:rsid w:val="00407F86"/>
    <w:rsid w:val="004205CD"/>
    <w:rsid w:val="004230BC"/>
    <w:rsid w:val="004310DF"/>
    <w:rsid w:val="00434FA2"/>
    <w:rsid w:val="00436B89"/>
    <w:rsid w:val="00445092"/>
    <w:rsid w:val="00445391"/>
    <w:rsid w:val="004471DE"/>
    <w:rsid w:val="004562AF"/>
    <w:rsid w:val="00464930"/>
    <w:rsid w:val="004679E0"/>
    <w:rsid w:val="004743A7"/>
    <w:rsid w:val="0047507B"/>
    <w:rsid w:val="004901D8"/>
    <w:rsid w:val="00496342"/>
    <w:rsid w:val="004A10D1"/>
    <w:rsid w:val="004B09F2"/>
    <w:rsid w:val="004B48DF"/>
    <w:rsid w:val="004D2B48"/>
    <w:rsid w:val="004D2DCF"/>
    <w:rsid w:val="004D4432"/>
    <w:rsid w:val="004D60FB"/>
    <w:rsid w:val="004F43FE"/>
    <w:rsid w:val="004F546A"/>
    <w:rsid w:val="00520DAD"/>
    <w:rsid w:val="005225BE"/>
    <w:rsid w:val="0057077F"/>
    <w:rsid w:val="00572E58"/>
    <w:rsid w:val="005813E2"/>
    <w:rsid w:val="00585602"/>
    <w:rsid w:val="00592F68"/>
    <w:rsid w:val="00595974"/>
    <w:rsid w:val="005A4DB9"/>
    <w:rsid w:val="005A7B45"/>
    <w:rsid w:val="005B7097"/>
    <w:rsid w:val="005C12D1"/>
    <w:rsid w:val="005E4736"/>
    <w:rsid w:val="005F2E33"/>
    <w:rsid w:val="005F7F2C"/>
    <w:rsid w:val="006018A4"/>
    <w:rsid w:val="0060627E"/>
    <w:rsid w:val="00614EC9"/>
    <w:rsid w:val="00634F2D"/>
    <w:rsid w:val="006356E4"/>
    <w:rsid w:val="0063684B"/>
    <w:rsid w:val="0064497B"/>
    <w:rsid w:val="00647BC8"/>
    <w:rsid w:val="00655691"/>
    <w:rsid w:val="00673974"/>
    <w:rsid w:val="006809A7"/>
    <w:rsid w:val="00694366"/>
    <w:rsid w:val="006A3017"/>
    <w:rsid w:val="006C0CD3"/>
    <w:rsid w:val="006C5CAA"/>
    <w:rsid w:val="006D1F72"/>
    <w:rsid w:val="006D5BF9"/>
    <w:rsid w:val="006F46E4"/>
    <w:rsid w:val="006F5BD0"/>
    <w:rsid w:val="00706FA7"/>
    <w:rsid w:val="00710542"/>
    <w:rsid w:val="0072362C"/>
    <w:rsid w:val="00742A47"/>
    <w:rsid w:val="007464C1"/>
    <w:rsid w:val="00783BB2"/>
    <w:rsid w:val="00786C43"/>
    <w:rsid w:val="00787313"/>
    <w:rsid w:val="007A4117"/>
    <w:rsid w:val="007A48F7"/>
    <w:rsid w:val="007B41A4"/>
    <w:rsid w:val="007C0732"/>
    <w:rsid w:val="007C40C5"/>
    <w:rsid w:val="007E45E3"/>
    <w:rsid w:val="007F1E46"/>
    <w:rsid w:val="007F370D"/>
    <w:rsid w:val="0080266B"/>
    <w:rsid w:val="00825216"/>
    <w:rsid w:val="0087376A"/>
    <w:rsid w:val="008A4CF5"/>
    <w:rsid w:val="008A70C4"/>
    <w:rsid w:val="008B74FA"/>
    <w:rsid w:val="008C1DD9"/>
    <w:rsid w:val="008C39D1"/>
    <w:rsid w:val="008C44BE"/>
    <w:rsid w:val="008D2C92"/>
    <w:rsid w:val="008D2F16"/>
    <w:rsid w:val="008E03BD"/>
    <w:rsid w:val="008E0DFF"/>
    <w:rsid w:val="008F63D1"/>
    <w:rsid w:val="0090639A"/>
    <w:rsid w:val="009220C2"/>
    <w:rsid w:val="00922D55"/>
    <w:rsid w:val="009460E3"/>
    <w:rsid w:val="00976F61"/>
    <w:rsid w:val="00992CD8"/>
    <w:rsid w:val="009A7A0D"/>
    <w:rsid w:val="009C6B8D"/>
    <w:rsid w:val="009F113A"/>
    <w:rsid w:val="00A0041B"/>
    <w:rsid w:val="00A22D69"/>
    <w:rsid w:val="00A23E7F"/>
    <w:rsid w:val="00A4153D"/>
    <w:rsid w:val="00A441BD"/>
    <w:rsid w:val="00A45035"/>
    <w:rsid w:val="00A5070D"/>
    <w:rsid w:val="00A61266"/>
    <w:rsid w:val="00A765F1"/>
    <w:rsid w:val="00A81271"/>
    <w:rsid w:val="00A81462"/>
    <w:rsid w:val="00A83EE8"/>
    <w:rsid w:val="00A90271"/>
    <w:rsid w:val="00A92020"/>
    <w:rsid w:val="00AA1A66"/>
    <w:rsid w:val="00AA3E47"/>
    <w:rsid w:val="00AA5C15"/>
    <w:rsid w:val="00AB4A0B"/>
    <w:rsid w:val="00AB6800"/>
    <w:rsid w:val="00AB76CB"/>
    <w:rsid w:val="00AC27BF"/>
    <w:rsid w:val="00AD3204"/>
    <w:rsid w:val="00AE29A8"/>
    <w:rsid w:val="00AF129D"/>
    <w:rsid w:val="00B052C2"/>
    <w:rsid w:val="00B11C73"/>
    <w:rsid w:val="00B12239"/>
    <w:rsid w:val="00B26FCF"/>
    <w:rsid w:val="00B273E7"/>
    <w:rsid w:val="00B4386A"/>
    <w:rsid w:val="00B45112"/>
    <w:rsid w:val="00B545B8"/>
    <w:rsid w:val="00B54F63"/>
    <w:rsid w:val="00B57BF0"/>
    <w:rsid w:val="00B60C20"/>
    <w:rsid w:val="00B75692"/>
    <w:rsid w:val="00B775F5"/>
    <w:rsid w:val="00B846FD"/>
    <w:rsid w:val="00BA6578"/>
    <w:rsid w:val="00BB7A0C"/>
    <w:rsid w:val="00BD145A"/>
    <w:rsid w:val="00BE761C"/>
    <w:rsid w:val="00C01A7B"/>
    <w:rsid w:val="00C02BA8"/>
    <w:rsid w:val="00C05408"/>
    <w:rsid w:val="00C120D5"/>
    <w:rsid w:val="00C150B8"/>
    <w:rsid w:val="00C4386C"/>
    <w:rsid w:val="00C45E3E"/>
    <w:rsid w:val="00C62B25"/>
    <w:rsid w:val="00C73D49"/>
    <w:rsid w:val="00C740FA"/>
    <w:rsid w:val="00C77D43"/>
    <w:rsid w:val="00C83FDA"/>
    <w:rsid w:val="00C87A7E"/>
    <w:rsid w:val="00CB024D"/>
    <w:rsid w:val="00CB290F"/>
    <w:rsid w:val="00CB55AD"/>
    <w:rsid w:val="00CC2ED5"/>
    <w:rsid w:val="00CC7A80"/>
    <w:rsid w:val="00CE6C3D"/>
    <w:rsid w:val="00CF08EC"/>
    <w:rsid w:val="00D101DC"/>
    <w:rsid w:val="00D13898"/>
    <w:rsid w:val="00D226C4"/>
    <w:rsid w:val="00D36102"/>
    <w:rsid w:val="00D93C4A"/>
    <w:rsid w:val="00D9590B"/>
    <w:rsid w:val="00DB3746"/>
    <w:rsid w:val="00DC1783"/>
    <w:rsid w:val="00DC754B"/>
    <w:rsid w:val="00DF543A"/>
    <w:rsid w:val="00E03F8C"/>
    <w:rsid w:val="00E30701"/>
    <w:rsid w:val="00E313E6"/>
    <w:rsid w:val="00E5149E"/>
    <w:rsid w:val="00E66C18"/>
    <w:rsid w:val="00E761B7"/>
    <w:rsid w:val="00E8168E"/>
    <w:rsid w:val="00E93F78"/>
    <w:rsid w:val="00EB0E47"/>
    <w:rsid w:val="00EB2309"/>
    <w:rsid w:val="00EB3B02"/>
    <w:rsid w:val="00EC14F8"/>
    <w:rsid w:val="00EC7768"/>
    <w:rsid w:val="00ED1D24"/>
    <w:rsid w:val="00ED2F06"/>
    <w:rsid w:val="00EE2434"/>
    <w:rsid w:val="00EF7896"/>
    <w:rsid w:val="00F140FC"/>
    <w:rsid w:val="00F145FD"/>
    <w:rsid w:val="00F40648"/>
    <w:rsid w:val="00F549CF"/>
    <w:rsid w:val="00F61E84"/>
    <w:rsid w:val="00F76687"/>
    <w:rsid w:val="00F84A82"/>
    <w:rsid w:val="00F927D5"/>
    <w:rsid w:val="00F95F2F"/>
    <w:rsid w:val="00F96FBC"/>
    <w:rsid w:val="00FA2CC5"/>
    <w:rsid w:val="00FA3224"/>
    <w:rsid w:val="00FB3413"/>
    <w:rsid w:val="00FB5328"/>
    <w:rsid w:val="00FC7B06"/>
    <w:rsid w:val="00FE5BEC"/>
    <w:rsid w:val="00FF0A9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4FA"/>
    <w:pPr>
      <w:jc w:val="both"/>
    </w:pPr>
    <w:rPr>
      <w:rFonts w:ascii="Cambria" w:eastAsia="Calibri" w:hAnsi="Cambria" w:cs="Times New Roman"/>
    </w:rPr>
  </w:style>
  <w:style w:type="paragraph" w:styleId="Ttulo2">
    <w:name w:val="heading 2"/>
    <w:basedOn w:val="Normal"/>
    <w:next w:val="Normal"/>
    <w:link w:val="Ttulo2Car"/>
    <w:qFormat/>
    <w:rsid w:val="008B74FA"/>
    <w:pPr>
      <w:keepNext/>
      <w:numPr>
        <w:ilvl w:val="1"/>
        <w:numId w:val="1"/>
      </w:numPr>
      <w:tabs>
        <w:tab w:val="left" w:pos="0"/>
      </w:tabs>
      <w:suppressAutoHyphens/>
      <w:spacing w:before="240" w:after="60" w:line="240" w:lineRule="auto"/>
      <w:outlineLvl w:val="1"/>
    </w:pPr>
    <w:rPr>
      <w:rFonts w:ascii="Arial" w:hAnsi="Arial"/>
      <w:b/>
      <w:i/>
      <w:sz w:val="20"/>
      <w:szCs w:val="20"/>
      <w:lang w:val="es-ES" w:eastAsia="ar-SA"/>
    </w:rPr>
  </w:style>
  <w:style w:type="paragraph" w:styleId="Ttulo3">
    <w:name w:val="heading 3"/>
    <w:basedOn w:val="Normal"/>
    <w:next w:val="Normal"/>
    <w:link w:val="Ttulo3Car"/>
    <w:uiPriority w:val="9"/>
    <w:unhideWhenUsed/>
    <w:qFormat/>
    <w:rsid w:val="00445391"/>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8B74FA"/>
    <w:rPr>
      <w:rFonts w:ascii="Arial" w:eastAsia="Calibri" w:hAnsi="Arial" w:cs="Times New Roman"/>
      <w:b/>
      <w:i/>
      <w:sz w:val="20"/>
      <w:szCs w:val="20"/>
      <w:lang w:val="es-ES" w:eastAsia="ar-SA"/>
    </w:rPr>
  </w:style>
  <w:style w:type="character" w:customStyle="1" w:styleId="Ttulo3Car">
    <w:name w:val="Título 3 Car"/>
    <w:basedOn w:val="Fuentedeprrafopredeter"/>
    <w:link w:val="Ttulo3"/>
    <w:uiPriority w:val="9"/>
    <w:rsid w:val="00445391"/>
    <w:rPr>
      <w:rFonts w:asciiTheme="majorHAnsi" w:eastAsiaTheme="majorEastAsia" w:hAnsiTheme="majorHAnsi" w:cstheme="majorBidi"/>
      <w:b/>
      <w:bCs/>
      <w:color w:val="4F81BD" w:themeColor="accent1"/>
    </w:rPr>
  </w:style>
  <w:style w:type="paragraph" w:styleId="Encabezado">
    <w:name w:val="header"/>
    <w:basedOn w:val="Normal"/>
    <w:link w:val="EncabezadoCar"/>
    <w:uiPriority w:val="99"/>
    <w:unhideWhenUsed/>
    <w:rsid w:val="008B74F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B74FA"/>
    <w:rPr>
      <w:rFonts w:ascii="Cambria" w:eastAsia="Calibri" w:hAnsi="Cambria" w:cs="Times New Roman"/>
    </w:rPr>
  </w:style>
  <w:style w:type="paragraph" w:styleId="Piedepgina">
    <w:name w:val="footer"/>
    <w:basedOn w:val="Normal"/>
    <w:link w:val="PiedepginaCar"/>
    <w:uiPriority w:val="99"/>
    <w:unhideWhenUsed/>
    <w:rsid w:val="008B74F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B74FA"/>
    <w:rPr>
      <w:rFonts w:ascii="Cambria" w:eastAsia="Calibri" w:hAnsi="Cambria" w:cs="Times New Roman"/>
    </w:rPr>
  </w:style>
  <w:style w:type="paragraph" w:customStyle="1" w:styleId="Textoindependiente21">
    <w:name w:val="Texto independiente 21"/>
    <w:basedOn w:val="Normal"/>
    <w:rsid w:val="008B74FA"/>
    <w:pPr>
      <w:widowControl w:val="0"/>
      <w:suppressAutoHyphens/>
      <w:overflowPunct w:val="0"/>
      <w:autoSpaceDE w:val="0"/>
      <w:spacing w:after="0" w:line="240" w:lineRule="auto"/>
      <w:textAlignment w:val="baseline"/>
    </w:pPr>
    <w:rPr>
      <w:rFonts w:ascii="Arial" w:hAnsi="Arial"/>
      <w:sz w:val="20"/>
      <w:szCs w:val="20"/>
      <w:lang w:val="es-ES" w:eastAsia="ar-SA"/>
    </w:rPr>
  </w:style>
  <w:style w:type="paragraph" w:styleId="Subttulo">
    <w:name w:val="Subtitle"/>
    <w:basedOn w:val="Normal"/>
    <w:next w:val="Normal"/>
    <w:link w:val="SubttuloCar"/>
    <w:qFormat/>
    <w:rsid w:val="008B74FA"/>
    <w:pPr>
      <w:keepNext/>
      <w:spacing w:before="120" w:after="0" w:line="360" w:lineRule="auto"/>
    </w:pPr>
    <w:rPr>
      <w:rFonts w:eastAsia="MS Mincho"/>
      <w:b/>
      <w:szCs w:val="24"/>
      <w:lang w:val="es-ES" w:eastAsia="es-ES"/>
    </w:rPr>
  </w:style>
  <w:style w:type="character" w:customStyle="1" w:styleId="SubttuloCar">
    <w:name w:val="Subtítulo Car"/>
    <w:basedOn w:val="Fuentedeprrafopredeter"/>
    <w:link w:val="Subttulo"/>
    <w:rsid w:val="008B74FA"/>
    <w:rPr>
      <w:rFonts w:ascii="Cambria" w:eastAsia="MS Mincho" w:hAnsi="Cambria" w:cs="Times New Roman"/>
      <w:b/>
      <w:szCs w:val="24"/>
      <w:lang w:val="es-ES" w:eastAsia="es-ES"/>
    </w:rPr>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List Paragraph"/>
    <w:basedOn w:val="Normal"/>
    <w:link w:val="PrrafodelistaCar"/>
    <w:uiPriority w:val="34"/>
    <w:qFormat/>
    <w:rsid w:val="008B74FA"/>
    <w:pPr>
      <w:spacing w:after="0" w:line="240" w:lineRule="auto"/>
      <w:ind w:left="720"/>
      <w:contextualSpacing/>
    </w:pPr>
    <w:rPr>
      <w:rFonts w:ascii="Arial" w:hAnsi="Arial"/>
      <w:sz w:val="24"/>
      <w:szCs w:val="24"/>
      <w:lang w:val="x-none" w:eastAsia="es-ES"/>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34"/>
    <w:rsid w:val="008B74FA"/>
    <w:rPr>
      <w:rFonts w:ascii="Arial" w:eastAsia="Calibri" w:hAnsi="Arial" w:cs="Times New Roman"/>
      <w:sz w:val="24"/>
      <w:szCs w:val="24"/>
      <w:lang w:val="x-none" w:eastAsia="es-ES"/>
    </w:rPr>
  </w:style>
  <w:style w:type="character" w:styleId="Hipervnculo">
    <w:name w:val="Hyperlink"/>
    <w:uiPriority w:val="99"/>
    <w:rsid w:val="008B74FA"/>
    <w:rPr>
      <w:color w:val="0000FF"/>
      <w:u w:val="single"/>
    </w:rPr>
  </w:style>
  <w:style w:type="paragraph" w:styleId="Sinespaciado">
    <w:name w:val="No Spacing"/>
    <w:uiPriority w:val="1"/>
    <w:qFormat/>
    <w:rsid w:val="008B74FA"/>
    <w:pPr>
      <w:spacing w:after="0" w:line="240" w:lineRule="auto"/>
    </w:pPr>
    <w:rPr>
      <w:rFonts w:ascii="Calibri" w:eastAsia="Calibri" w:hAnsi="Calibri" w:cs="Times New Roman"/>
    </w:rPr>
  </w:style>
  <w:style w:type="paragraph" w:styleId="Textodeglobo">
    <w:name w:val="Balloon Text"/>
    <w:basedOn w:val="Normal"/>
    <w:link w:val="TextodegloboCar"/>
    <w:uiPriority w:val="99"/>
    <w:semiHidden/>
    <w:unhideWhenUsed/>
    <w:rsid w:val="00AC27B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C27BF"/>
    <w:rPr>
      <w:rFonts w:ascii="Tahoma" w:eastAsia="Calibri" w:hAnsi="Tahoma" w:cs="Tahoma"/>
      <w:sz w:val="16"/>
      <w:szCs w:val="16"/>
    </w:rPr>
  </w:style>
  <w:style w:type="paragraph" w:customStyle="1" w:styleId="Default">
    <w:name w:val="Default"/>
    <w:rsid w:val="00DB3746"/>
    <w:pPr>
      <w:autoSpaceDE w:val="0"/>
      <w:autoSpaceDN w:val="0"/>
      <w:adjustRightInd w:val="0"/>
      <w:spacing w:after="0" w:line="240" w:lineRule="auto"/>
    </w:pPr>
    <w:rPr>
      <w:rFonts w:ascii="Times New Roman" w:hAnsi="Times New Roman" w:cs="Times New Roman"/>
      <w:color w:val="000000"/>
      <w:sz w:val="24"/>
      <w:szCs w:val="24"/>
    </w:rPr>
  </w:style>
  <w:style w:type="table" w:styleId="Tablaconcuadrcula">
    <w:name w:val="Table Grid"/>
    <w:basedOn w:val="Tablanormal"/>
    <w:uiPriority w:val="59"/>
    <w:rsid w:val="003857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8A70C4"/>
    <w:rPr>
      <w:sz w:val="16"/>
      <w:szCs w:val="16"/>
    </w:rPr>
  </w:style>
  <w:style w:type="paragraph" w:styleId="Textocomentario">
    <w:name w:val="annotation text"/>
    <w:basedOn w:val="Normal"/>
    <w:link w:val="TextocomentarioCar"/>
    <w:uiPriority w:val="99"/>
    <w:semiHidden/>
    <w:unhideWhenUsed/>
    <w:rsid w:val="008A70C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A70C4"/>
    <w:rPr>
      <w:rFonts w:ascii="Cambria" w:eastAsia="Calibri" w:hAnsi="Cambria"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4FA"/>
    <w:pPr>
      <w:jc w:val="both"/>
    </w:pPr>
    <w:rPr>
      <w:rFonts w:ascii="Cambria" w:eastAsia="Calibri" w:hAnsi="Cambria" w:cs="Times New Roman"/>
    </w:rPr>
  </w:style>
  <w:style w:type="paragraph" w:styleId="Ttulo2">
    <w:name w:val="heading 2"/>
    <w:basedOn w:val="Normal"/>
    <w:next w:val="Normal"/>
    <w:link w:val="Ttulo2Car"/>
    <w:qFormat/>
    <w:rsid w:val="008B74FA"/>
    <w:pPr>
      <w:keepNext/>
      <w:numPr>
        <w:ilvl w:val="1"/>
        <w:numId w:val="1"/>
      </w:numPr>
      <w:tabs>
        <w:tab w:val="left" w:pos="0"/>
      </w:tabs>
      <w:suppressAutoHyphens/>
      <w:spacing w:before="240" w:after="60" w:line="240" w:lineRule="auto"/>
      <w:outlineLvl w:val="1"/>
    </w:pPr>
    <w:rPr>
      <w:rFonts w:ascii="Arial" w:hAnsi="Arial"/>
      <w:b/>
      <w:i/>
      <w:sz w:val="20"/>
      <w:szCs w:val="20"/>
      <w:lang w:val="es-ES" w:eastAsia="ar-SA"/>
    </w:rPr>
  </w:style>
  <w:style w:type="paragraph" w:styleId="Ttulo3">
    <w:name w:val="heading 3"/>
    <w:basedOn w:val="Normal"/>
    <w:next w:val="Normal"/>
    <w:link w:val="Ttulo3Car"/>
    <w:uiPriority w:val="9"/>
    <w:unhideWhenUsed/>
    <w:qFormat/>
    <w:rsid w:val="00445391"/>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8B74FA"/>
    <w:rPr>
      <w:rFonts w:ascii="Arial" w:eastAsia="Calibri" w:hAnsi="Arial" w:cs="Times New Roman"/>
      <w:b/>
      <w:i/>
      <w:sz w:val="20"/>
      <w:szCs w:val="20"/>
      <w:lang w:val="es-ES" w:eastAsia="ar-SA"/>
    </w:rPr>
  </w:style>
  <w:style w:type="character" w:customStyle="1" w:styleId="Ttulo3Car">
    <w:name w:val="Título 3 Car"/>
    <w:basedOn w:val="Fuentedeprrafopredeter"/>
    <w:link w:val="Ttulo3"/>
    <w:uiPriority w:val="9"/>
    <w:rsid w:val="00445391"/>
    <w:rPr>
      <w:rFonts w:asciiTheme="majorHAnsi" w:eastAsiaTheme="majorEastAsia" w:hAnsiTheme="majorHAnsi" w:cstheme="majorBidi"/>
      <w:b/>
      <w:bCs/>
      <w:color w:val="4F81BD" w:themeColor="accent1"/>
    </w:rPr>
  </w:style>
  <w:style w:type="paragraph" w:styleId="Encabezado">
    <w:name w:val="header"/>
    <w:basedOn w:val="Normal"/>
    <w:link w:val="EncabezadoCar"/>
    <w:uiPriority w:val="99"/>
    <w:unhideWhenUsed/>
    <w:rsid w:val="008B74F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B74FA"/>
    <w:rPr>
      <w:rFonts w:ascii="Cambria" w:eastAsia="Calibri" w:hAnsi="Cambria" w:cs="Times New Roman"/>
    </w:rPr>
  </w:style>
  <w:style w:type="paragraph" w:styleId="Piedepgina">
    <w:name w:val="footer"/>
    <w:basedOn w:val="Normal"/>
    <w:link w:val="PiedepginaCar"/>
    <w:uiPriority w:val="99"/>
    <w:unhideWhenUsed/>
    <w:rsid w:val="008B74F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B74FA"/>
    <w:rPr>
      <w:rFonts w:ascii="Cambria" w:eastAsia="Calibri" w:hAnsi="Cambria" w:cs="Times New Roman"/>
    </w:rPr>
  </w:style>
  <w:style w:type="paragraph" w:customStyle="1" w:styleId="Textoindependiente21">
    <w:name w:val="Texto independiente 21"/>
    <w:basedOn w:val="Normal"/>
    <w:rsid w:val="008B74FA"/>
    <w:pPr>
      <w:widowControl w:val="0"/>
      <w:suppressAutoHyphens/>
      <w:overflowPunct w:val="0"/>
      <w:autoSpaceDE w:val="0"/>
      <w:spacing w:after="0" w:line="240" w:lineRule="auto"/>
      <w:textAlignment w:val="baseline"/>
    </w:pPr>
    <w:rPr>
      <w:rFonts w:ascii="Arial" w:hAnsi="Arial"/>
      <w:sz w:val="20"/>
      <w:szCs w:val="20"/>
      <w:lang w:val="es-ES" w:eastAsia="ar-SA"/>
    </w:rPr>
  </w:style>
  <w:style w:type="paragraph" w:styleId="Subttulo">
    <w:name w:val="Subtitle"/>
    <w:basedOn w:val="Normal"/>
    <w:next w:val="Normal"/>
    <w:link w:val="SubttuloCar"/>
    <w:qFormat/>
    <w:rsid w:val="008B74FA"/>
    <w:pPr>
      <w:keepNext/>
      <w:spacing w:before="120" w:after="0" w:line="360" w:lineRule="auto"/>
    </w:pPr>
    <w:rPr>
      <w:rFonts w:eastAsia="MS Mincho"/>
      <w:b/>
      <w:szCs w:val="24"/>
      <w:lang w:val="es-ES" w:eastAsia="es-ES"/>
    </w:rPr>
  </w:style>
  <w:style w:type="character" w:customStyle="1" w:styleId="SubttuloCar">
    <w:name w:val="Subtítulo Car"/>
    <w:basedOn w:val="Fuentedeprrafopredeter"/>
    <w:link w:val="Subttulo"/>
    <w:rsid w:val="008B74FA"/>
    <w:rPr>
      <w:rFonts w:ascii="Cambria" w:eastAsia="MS Mincho" w:hAnsi="Cambria" w:cs="Times New Roman"/>
      <w:b/>
      <w:szCs w:val="24"/>
      <w:lang w:val="es-ES" w:eastAsia="es-ES"/>
    </w:rPr>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List Paragraph"/>
    <w:basedOn w:val="Normal"/>
    <w:link w:val="PrrafodelistaCar"/>
    <w:uiPriority w:val="34"/>
    <w:qFormat/>
    <w:rsid w:val="008B74FA"/>
    <w:pPr>
      <w:spacing w:after="0" w:line="240" w:lineRule="auto"/>
      <w:ind w:left="720"/>
      <w:contextualSpacing/>
    </w:pPr>
    <w:rPr>
      <w:rFonts w:ascii="Arial" w:hAnsi="Arial"/>
      <w:sz w:val="24"/>
      <w:szCs w:val="24"/>
      <w:lang w:val="x-none" w:eastAsia="es-ES"/>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34"/>
    <w:rsid w:val="008B74FA"/>
    <w:rPr>
      <w:rFonts w:ascii="Arial" w:eastAsia="Calibri" w:hAnsi="Arial" w:cs="Times New Roman"/>
      <w:sz w:val="24"/>
      <w:szCs w:val="24"/>
      <w:lang w:val="x-none" w:eastAsia="es-ES"/>
    </w:rPr>
  </w:style>
  <w:style w:type="character" w:styleId="Hipervnculo">
    <w:name w:val="Hyperlink"/>
    <w:uiPriority w:val="99"/>
    <w:rsid w:val="008B74FA"/>
    <w:rPr>
      <w:color w:val="0000FF"/>
      <w:u w:val="single"/>
    </w:rPr>
  </w:style>
  <w:style w:type="paragraph" w:styleId="Sinespaciado">
    <w:name w:val="No Spacing"/>
    <w:uiPriority w:val="1"/>
    <w:qFormat/>
    <w:rsid w:val="008B74FA"/>
    <w:pPr>
      <w:spacing w:after="0" w:line="240" w:lineRule="auto"/>
    </w:pPr>
    <w:rPr>
      <w:rFonts w:ascii="Calibri" w:eastAsia="Calibri" w:hAnsi="Calibri" w:cs="Times New Roman"/>
    </w:rPr>
  </w:style>
  <w:style w:type="paragraph" w:styleId="Textodeglobo">
    <w:name w:val="Balloon Text"/>
    <w:basedOn w:val="Normal"/>
    <w:link w:val="TextodegloboCar"/>
    <w:uiPriority w:val="99"/>
    <w:semiHidden/>
    <w:unhideWhenUsed/>
    <w:rsid w:val="00AC27B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C27BF"/>
    <w:rPr>
      <w:rFonts w:ascii="Tahoma" w:eastAsia="Calibri" w:hAnsi="Tahoma" w:cs="Tahoma"/>
      <w:sz w:val="16"/>
      <w:szCs w:val="16"/>
    </w:rPr>
  </w:style>
  <w:style w:type="paragraph" w:customStyle="1" w:styleId="Default">
    <w:name w:val="Default"/>
    <w:rsid w:val="00DB3746"/>
    <w:pPr>
      <w:autoSpaceDE w:val="0"/>
      <w:autoSpaceDN w:val="0"/>
      <w:adjustRightInd w:val="0"/>
      <w:spacing w:after="0" w:line="240" w:lineRule="auto"/>
    </w:pPr>
    <w:rPr>
      <w:rFonts w:ascii="Times New Roman" w:hAnsi="Times New Roman" w:cs="Times New Roman"/>
      <w:color w:val="000000"/>
      <w:sz w:val="24"/>
      <w:szCs w:val="24"/>
    </w:rPr>
  </w:style>
  <w:style w:type="table" w:styleId="Tablaconcuadrcula">
    <w:name w:val="Table Grid"/>
    <w:basedOn w:val="Tablanormal"/>
    <w:uiPriority w:val="59"/>
    <w:rsid w:val="003857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8A70C4"/>
    <w:rPr>
      <w:sz w:val="16"/>
      <w:szCs w:val="16"/>
    </w:rPr>
  </w:style>
  <w:style w:type="paragraph" w:styleId="Textocomentario">
    <w:name w:val="annotation text"/>
    <w:basedOn w:val="Normal"/>
    <w:link w:val="TextocomentarioCar"/>
    <w:uiPriority w:val="99"/>
    <w:semiHidden/>
    <w:unhideWhenUsed/>
    <w:rsid w:val="008A70C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A70C4"/>
    <w:rPr>
      <w:rFonts w:ascii="Cambria" w:eastAsia="Calibri" w:hAnsi="Cambri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485960">
      <w:bodyDiv w:val="1"/>
      <w:marLeft w:val="0"/>
      <w:marRight w:val="0"/>
      <w:marTop w:val="0"/>
      <w:marBottom w:val="0"/>
      <w:divBdr>
        <w:top w:val="none" w:sz="0" w:space="0" w:color="auto"/>
        <w:left w:val="none" w:sz="0" w:space="0" w:color="auto"/>
        <w:bottom w:val="none" w:sz="0" w:space="0" w:color="auto"/>
        <w:right w:val="none" w:sz="0" w:space="0" w:color="auto"/>
      </w:divBdr>
    </w:div>
    <w:div w:id="159391018">
      <w:bodyDiv w:val="1"/>
      <w:marLeft w:val="0"/>
      <w:marRight w:val="0"/>
      <w:marTop w:val="0"/>
      <w:marBottom w:val="0"/>
      <w:divBdr>
        <w:top w:val="none" w:sz="0" w:space="0" w:color="auto"/>
        <w:left w:val="none" w:sz="0" w:space="0" w:color="auto"/>
        <w:bottom w:val="none" w:sz="0" w:space="0" w:color="auto"/>
        <w:right w:val="none" w:sz="0" w:space="0" w:color="auto"/>
      </w:divBdr>
      <w:divsChild>
        <w:div w:id="1309507386">
          <w:marLeft w:val="0"/>
          <w:marRight w:val="0"/>
          <w:marTop w:val="0"/>
          <w:marBottom w:val="0"/>
          <w:divBdr>
            <w:top w:val="none" w:sz="0" w:space="0" w:color="auto"/>
            <w:left w:val="none" w:sz="0" w:space="0" w:color="auto"/>
            <w:bottom w:val="none" w:sz="0" w:space="0" w:color="auto"/>
            <w:right w:val="none" w:sz="0" w:space="0" w:color="auto"/>
          </w:divBdr>
        </w:div>
      </w:divsChild>
    </w:div>
    <w:div w:id="537746521">
      <w:bodyDiv w:val="1"/>
      <w:marLeft w:val="0"/>
      <w:marRight w:val="0"/>
      <w:marTop w:val="0"/>
      <w:marBottom w:val="0"/>
      <w:divBdr>
        <w:top w:val="none" w:sz="0" w:space="0" w:color="auto"/>
        <w:left w:val="none" w:sz="0" w:space="0" w:color="auto"/>
        <w:bottom w:val="none" w:sz="0" w:space="0" w:color="auto"/>
        <w:right w:val="none" w:sz="0" w:space="0" w:color="auto"/>
      </w:divBdr>
    </w:div>
    <w:div w:id="573398734">
      <w:bodyDiv w:val="1"/>
      <w:marLeft w:val="0"/>
      <w:marRight w:val="0"/>
      <w:marTop w:val="0"/>
      <w:marBottom w:val="0"/>
      <w:divBdr>
        <w:top w:val="none" w:sz="0" w:space="0" w:color="auto"/>
        <w:left w:val="none" w:sz="0" w:space="0" w:color="auto"/>
        <w:bottom w:val="none" w:sz="0" w:space="0" w:color="auto"/>
        <w:right w:val="none" w:sz="0" w:space="0" w:color="auto"/>
      </w:divBdr>
    </w:div>
    <w:div w:id="623318312">
      <w:bodyDiv w:val="1"/>
      <w:marLeft w:val="0"/>
      <w:marRight w:val="0"/>
      <w:marTop w:val="0"/>
      <w:marBottom w:val="0"/>
      <w:divBdr>
        <w:top w:val="none" w:sz="0" w:space="0" w:color="auto"/>
        <w:left w:val="none" w:sz="0" w:space="0" w:color="auto"/>
        <w:bottom w:val="none" w:sz="0" w:space="0" w:color="auto"/>
        <w:right w:val="none" w:sz="0" w:space="0" w:color="auto"/>
      </w:divBdr>
    </w:div>
    <w:div w:id="809905290">
      <w:bodyDiv w:val="1"/>
      <w:marLeft w:val="0"/>
      <w:marRight w:val="0"/>
      <w:marTop w:val="0"/>
      <w:marBottom w:val="0"/>
      <w:divBdr>
        <w:top w:val="none" w:sz="0" w:space="0" w:color="auto"/>
        <w:left w:val="none" w:sz="0" w:space="0" w:color="auto"/>
        <w:bottom w:val="none" w:sz="0" w:space="0" w:color="auto"/>
        <w:right w:val="none" w:sz="0" w:space="0" w:color="auto"/>
      </w:divBdr>
    </w:div>
    <w:div w:id="1025206159">
      <w:bodyDiv w:val="1"/>
      <w:marLeft w:val="0"/>
      <w:marRight w:val="0"/>
      <w:marTop w:val="0"/>
      <w:marBottom w:val="0"/>
      <w:divBdr>
        <w:top w:val="none" w:sz="0" w:space="0" w:color="auto"/>
        <w:left w:val="none" w:sz="0" w:space="0" w:color="auto"/>
        <w:bottom w:val="none" w:sz="0" w:space="0" w:color="auto"/>
        <w:right w:val="none" w:sz="0" w:space="0" w:color="auto"/>
      </w:divBdr>
    </w:div>
    <w:div w:id="1484665273">
      <w:bodyDiv w:val="1"/>
      <w:marLeft w:val="0"/>
      <w:marRight w:val="0"/>
      <w:marTop w:val="0"/>
      <w:marBottom w:val="0"/>
      <w:divBdr>
        <w:top w:val="none" w:sz="0" w:space="0" w:color="auto"/>
        <w:left w:val="none" w:sz="0" w:space="0" w:color="auto"/>
        <w:bottom w:val="none" w:sz="0" w:space="0" w:color="auto"/>
        <w:right w:val="none" w:sz="0" w:space="0" w:color="auto"/>
      </w:divBdr>
    </w:div>
    <w:div w:id="1531799319">
      <w:bodyDiv w:val="1"/>
      <w:marLeft w:val="0"/>
      <w:marRight w:val="0"/>
      <w:marTop w:val="0"/>
      <w:marBottom w:val="0"/>
      <w:divBdr>
        <w:top w:val="none" w:sz="0" w:space="0" w:color="auto"/>
        <w:left w:val="none" w:sz="0" w:space="0" w:color="auto"/>
        <w:bottom w:val="none" w:sz="0" w:space="0" w:color="auto"/>
        <w:right w:val="none" w:sz="0" w:space="0" w:color="auto"/>
      </w:divBdr>
    </w:div>
    <w:div w:id="1721321852">
      <w:bodyDiv w:val="1"/>
      <w:marLeft w:val="0"/>
      <w:marRight w:val="0"/>
      <w:marTop w:val="0"/>
      <w:marBottom w:val="0"/>
      <w:divBdr>
        <w:top w:val="none" w:sz="0" w:space="0" w:color="auto"/>
        <w:left w:val="none" w:sz="0" w:space="0" w:color="auto"/>
        <w:bottom w:val="none" w:sz="0" w:space="0" w:color="auto"/>
        <w:right w:val="none" w:sz="0" w:space="0" w:color="auto"/>
      </w:divBdr>
    </w:div>
    <w:div w:id="1740472134">
      <w:bodyDiv w:val="1"/>
      <w:marLeft w:val="0"/>
      <w:marRight w:val="0"/>
      <w:marTop w:val="0"/>
      <w:marBottom w:val="0"/>
      <w:divBdr>
        <w:top w:val="none" w:sz="0" w:space="0" w:color="auto"/>
        <w:left w:val="none" w:sz="0" w:space="0" w:color="auto"/>
        <w:bottom w:val="none" w:sz="0" w:space="0" w:color="auto"/>
        <w:right w:val="none" w:sz="0" w:space="0" w:color="auto"/>
      </w:divBdr>
    </w:div>
    <w:div w:id="2117404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ai.imss.gob.m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03AF9B-3C60-433C-B0C5-7E0BEF8A0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1839</Words>
  <Characters>10118</Characters>
  <Application>Microsoft Office Word</Application>
  <DocSecurity>0</DocSecurity>
  <Lines>84</Lines>
  <Paragraphs>23</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11934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Elisa Balandra Pineda</dc:creator>
  <cp:lastModifiedBy>Ana Laura Montes De Oca Choreño</cp:lastModifiedBy>
  <cp:revision>2</cp:revision>
  <cp:lastPrinted>2016-09-12T16:33:00Z</cp:lastPrinted>
  <dcterms:created xsi:type="dcterms:W3CDTF">2017-09-22T22:51:00Z</dcterms:created>
  <dcterms:modified xsi:type="dcterms:W3CDTF">2017-09-22T22:51:00Z</dcterms:modified>
</cp:coreProperties>
</file>